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66" w:rsidRDefault="00F31E66">
      <w:pPr>
        <w:rPr>
          <w:rFonts w:ascii="Arial" w:hAnsi="Arial" w:cs="Arial"/>
          <w:b/>
          <w:sz w:val="24"/>
          <w:szCs w:val="24"/>
        </w:rPr>
      </w:pPr>
      <w:bookmarkStart w:id="0" w:name="_GoBack"/>
      <w:bookmarkEnd w:id="0"/>
    </w:p>
    <w:p w:rsidR="00F31E66" w:rsidRDefault="00F31E66">
      <w:pPr>
        <w:rPr>
          <w:rFonts w:ascii="Arial" w:hAnsi="Arial" w:cs="Arial"/>
          <w:b/>
          <w:sz w:val="24"/>
          <w:szCs w:val="24"/>
        </w:rPr>
      </w:pPr>
    </w:p>
    <w:p w:rsidR="00F31E66" w:rsidRDefault="00F31E66">
      <w:pPr>
        <w:rPr>
          <w:rFonts w:ascii="Arial" w:hAnsi="Arial" w:cs="Arial"/>
          <w:b/>
          <w:sz w:val="24"/>
          <w:szCs w:val="24"/>
        </w:rPr>
      </w:pPr>
    </w:p>
    <w:p w:rsidR="00F31E66" w:rsidRDefault="00F31E66">
      <w:pPr>
        <w:rPr>
          <w:rFonts w:ascii="Arial" w:hAnsi="Arial" w:cs="Arial"/>
          <w:b/>
          <w:sz w:val="24"/>
          <w:szCs w:val="24"/>
        </w:rPr>
      </w:pPr>
      <w:r>
        <w:rPr>
          <w:noProof/>
          <w:sz w:val="20"/>
          <w:lang w:eastAsia="en-GB"/>
        </w:rPr>
        <w:drawing>
          <wp:inline distT="0" distB="0" distL="0" distR="0" wp14:anchorId="220E0C59" wp14:editId="0FFC78FE">
            <wp:extent cx="1232535" cy="97028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535" cy="970280"/>
                    </a:xfrm>
                    <a:prstGeom prst="rect">
                      <a:avLst/>
                    </a:prstGeom>
                    <a:noFill/>
                    <a:ln>
                      <a:noFill/>
                    </a:ln>
                  </pic:spPr>
                </pic:pic>
              </a:graphicData>
            </a:graphic>
          </wp:inline>
        </w:drawing>
      </w:r>
    </w:p>
    <w:p w:rsidR="00F31E66" w:rsidRDefault="00F31E66">
      <w:pPr>
        <w:rPr>
          <w:rFonts w:ascii="Arial" w:hAnsi="Arial" w:cs="Arial"/>
          <w:b/>
          <w:sz w:val="24"/>
          <w:szCs w:val="24"/>
        </w:rPr>
      </w:pPr>
    </w:p>
    <w:p w:rsidR="00F31E66" w:rsidRDefault="00F31E66">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1050428</wp:posOffset>
                </wp:positionH>
                <wp:positionV relativeFrom="paragraph">
                  <wp:posOffset>238429</wp:posOffset>
                </wp:positionV>
                <wp:extent cx="3375025" cy="1550035"/>
                <wp:effectExtent l="76200" t="0" r="15875" b="882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55003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F31E66" w:rsidRDefault="00F31E66">
                            <w:pPr>
                              <w:jc w:val="center"/>
                              <w:rPr>
                                <w:b/>
                                <w:sz w:val="48"/>
                              </w:rPr>
                            </w:pPr>
                            <w:r>
                              <w:rPr>
                                <w:b/>
                                <w:sz w:val="48"/>
                              </w:rPr>
                              <w:t>Civil Penalty</w:t>
                            </w:r>
                          </w:p>
                          <w:p w:rsidR="00F31E66" w:rsidRDefault="00F31E66">
                            <w:pPr>
                              <w:jc w:val="center"/>
                              <w:rPr>
                                <w:b/>
                                <w:sz w:val="48"/>
                              </w:rPr>
                            </w:pPr>
                            <w:r>
                              <w:rPr>
                                <w:b/>
                                <w:sz w:val="48"/>
                              </w:rPr>
                              <w:t>Policy</w:t>
                            </w:r>
                          </w:p>
                          <w:p w:rsidR="000B69AA" w:rsidRPr="000B69AA" w:rsidRDefault="000B69AA">
                            <w:pPr>
                              <w:jc w:val="center"/>
                              <w:rPr>
                                <w:b/>
                              </w:rPr>
                            </w:pPr>
                            <w:r>
                              <w:rPr>
                                <w:b/>
                              </w:rPr>
                              <w:t xml:space="preserve">Published </w:t>
                            </w:r>
                            <w:r w:rsidRPr="000B69AA">
                              <w:rPr>
                                <w:b/>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7pt;margin-top:18.75pt;width:265.75pt;height:1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">
                <v:shadow on="t" opacity=".5" offset="-6pt,6pt"/>
                <v:textbox>
                  <w:txbxContent>
                    <w:p w:rsidR="00F31E66" w:rsidRDefault="00F31E66">
                      <w:pPr>
                        <w:jc w:val="center"/>
                        <w:rPr>
                          <w:b/>
                          <w:sz w:val="48"/>
                        </w:rPr>
                      </w:pPr>
                      <w:r>
                        <w:rPr>
                          <w:b/>
                          <w:sz w:val="48"/>
                        </w:rPr>
                        <w:t>Civil Penalty</w:t>
                      </w:r>
                    </w:p>
                    <w:p w:rsidR="00F31E66" w:rsidRDefault="00F31E66">
                      <w:pPr>
                        <w:jc w:val="center"/>
                        <w:rPr>
                          <w:b/>
                          <w:sz w:val="48"/>
                        </w:rPr>
                      </w:pPr>
                      <w:r>
                        <w:rPr>
                          <w:b/>
                          <w:sz w:val="48"/>
                        </w:rPr>
                        <w:t>Policy</w:t>
                      </w:r>
                    </w:p>
                    <w:p w:rsidR="000B69AA" w:rsidRPr="000B69AA" w:rsidRDefault="000B69AA">
                      <w:pPr>
                        <w:jc w:val="center"/>
                        <w:rPr>
                          <w:b/>
                        </w:rPr>
                      </w:pPr>
                      <w:r>
                        <w:rPr>
                          <w:b/>
                        </w:rPr>
                        <w:t xml:space="preserve">Published </w:t>
                      </w:r>
                      <w:r w:rsidRPr="000B69AA">
                        <w:rPr>
                          <w:b/>
                        </w:rPr>
                        <w:t>2019</w:t>
                      </w:r>
                    </w:p>
                  </w:txbxContent>
                </v:textbox>
              </v:shape>
            </w:pict>
          </mc:Fallback>
        </mc:AlternateContent>
      </w:r>
    </w:p>
    <w:p w:rsidR="00F31E66" w:rsidRDefault="00F31E66">
      <w:pPr>
        <w:rPr>
          <w:rFonts w:ascii="Arial" w:hAnsi="Arial" w:cs="Arial"/>
          <w:b/>
          <w:sz w:val="24"/>
          <w:szCs w:val="24"/>
        </w:rPr>
      </w:pPr>
    </w:p>
    <w:p w:rsidR="00F31E66" w:rsidRDefault="00F31E66">
      <w:pPr>
        <w:rPr>
          <w:rFonts w:ascii="Arial" w:hAnsi="Arial" w:cs="Arial"/>
          <w:b/>
          <w:sz w:val="24"/>
          <w:szCs w:val="24"/>
        </w:rPr>
      </w:pPr>
    </w:p>
    <w:p w:rsidR="00F31E66" w:rsidRDefault="00F31E66">
      <w:pPr>
        <w:rPr>
          <w:rFonts w:ascii="Arial" w:hAnsi="Arial" w:cs="Arial"/>
          <w:b/>
          <w:sz w:val="24"/>
          <w:szCs w:val="24"/>
        </w:rPr>
      </w:pPr>
    </w:p>
    <w:p w:rsidR="00F31E66" w:rsidRDefault="00F31E66">
      <w:pPr>
        <w:rPr>
          <w:rFonts w:ascii="Arial" w:hAnsi="Arial" w:cs="Arial"/>
          <w:b/>
          <w:sz w:val="24"/>
          <w:szCs w:val="24"/>
        </w:rPr>
      </w:pPr>
    </w:p>
    <w:p w:rsidR="00F31E66" w:rsidRDefault="00F31E66">
      <w:pPr>
        <w:rPr>
          <w:rFonts w:ascii="Arial" w:hAnsi="Arial" w:cs="Arial"/>
          <w:b/>
          <w:sz w:val="24"/>
          <w:szCs w:val="24"/>
        </w:rPr>
      </w:pPr>
    </w:p>
    <w:p w:rsidR="00F31E66" w:rsidRDefault="00F31E66">
      <w:pPr>
        <w:rPr>
          <w:rFonts w:ascii="Arial" w:hAnsi="Arial" w:cs="Arial"/>
          <w:b/>
          <w:sz w:val="24"/>
          <w:szCs w:val="24"/>
        </w:rPr>
      </w:pPr>
    </w:p>
    <w:p w:rsidR="00F31E66" w:rsidRDefault="00F31E66">
      <w:pPr>
        <w:rPr>
          <w:rFonts w:ascii="Arial" w:hAnsi="Arial" w:cs="Arial"/>
          <w:b/>
          <w:sz w:val="24"/>
          <w:szCs w:val="24"/>
        </w:rPr>
      </w:pPr>
    </w:p>
    <w:p w:rsidR="00F31E66" w:rsidRDefault="00F31E66">
      <w:pPr>
        <w:rPr>
          <w:rFonts w:ascii="Arial" w:hAnsi="Arial" w:cs="Arial"/>
          <w:b/>
          <w:sz w:val="24"/>
          <w:szCs w:val="24"/>
        </w:rPr>
      </w:pPr>
    </w:p>
    <w:p w:rsidR="00FD1FEC" w:rsidRDefault="00FD1FEC">
      <w:pPr>
        <w:rPr>
          <w:rFonts w:ascii="Arial" w:hAnsi="Arial" w:cs="Arial"/>
          <w:b/>
          <w:sz w:val="24"/>
          <w:szCs w:val="24"/>
        </w:rPr>
      </w:pPr>
      <w:r>
        <w:rPr>
          <w:rFonts w:ascii="Arial" w:hAnsi="Arial" w:cs="Arial"/>
          <w:b/>
          <w:sz w:val="24"/>
          <w:szCs w:val="24"/>
        </w:rPr>
        <w:br w:type="page"/>
      </w:r>
    </w:p>
    <w:p w:rsidR="005F408E" w:rsidRPr="008D2BCB" w:rsidRDefault="00547DCE">
      <w:pPr>
        <w:rPr>
          <w:rFonts w:ascii="Arial" w:hAnsi="Arial" w:cs="Arial"/>
          <w:b/>
          <w:sz w:val="24"/>
          <w:szCs w:val="24"/>
        </w:rPr>
      </w:pPr>
      <w:r w:rsidRPr="008D2BCB">
        <w:rPr>
          <w:rFonts w:ascii="Arial" w:hAnsi="Arial" w:cs="Arial"/>
          <w:b/>
          <w:sz w:val="24"/>
          <w:szCs w:val="24"/>
        </w:rPr>
        <w:lastRenderedPageBreak/>
        <w:t>Civil penalty as an alternative to prosecution under the Housing Act 2004</w:t>
      </w:r>
    </w:p>
    <w:p w:rsidR="00547DCE" w:rsidRDefault="00547DCE">
      <w:pPr>
        <w:rPr>
          <w:rFonts w:ascii="Arial" w:hAnsi="Arial" w:cs="Arial"/>
          <w:b/>
          <w:sz w:val="24"/>
          <w:szCs w:val="24"/>
        </w:rPr>
      </w:pPr>
      <w:r w:rsidRPr="008D2BCB">
        <w:rPr>
          <w:rFonts w:ascii="Arial" w:hAnsi="Arial" w:cs="Arial"/>
          <w:b/>
          <w:sz w:val="24"/>
          <w:szCs w:val="24"/>
        </w:rPr>
        <w:t>Tunbridge Wells Bor</w:t>
      </w:r>
      <w:r w:rsidR="006D39D5" w:rsidRPr="008D2BCB">
        <w:rPr>
          <w:rFonts w:ascii="Arial" w:hAnsi="Arial" w:cs="Arial"/>
          <w:b/>
          <w:sz w:val="24"/>
          <w:szCs w:val="24"/>
        </w:rPr>
        <w:t>ough Council</w:t>
      </w:r>
      <w:r w:rsidRPr="008D2BCB">
        <w:rPr>
          <w:rFonts w:ascii="Arial" w:hAnsi="Arial" w:cs="Arial"/>
          <w:b/>
          <w:sz w:val="24"/>
          <w:szCs w:val="24"/>
        </w:rPr>
        <w:t xml:space="preserve"> policy</w:t>
      </w:r>
      <w:r w:rsidR="00F525FF">
        <w:rPr>
          <w:rFonts w:ascii="Arial" w:hAnsi="Arial" w:cs="Arial"/>
          <w:b/>
          <w:sz w:val="24"/>
          <w:szCs w:val="24"/>
        </w:rPr>
        <w:t xml:space="preserve"> and procedure</w:t>
      </w:r>
      <w:r w:rsidRPr="008D2BCB">
        <w:rPr>
          <w:rFonts w:ascii="Arial" w:hAnsi="Arial" w:cs="Arial"/>
          <w:b/>
          <w:sz w:val="24"/>
          <w:szCs w:val="24"/>
        </w:rPr>
        <w:t xml:space="preserve"> on deciding </w:t>
      </w:r>
      <w:r w:rsidR="00D631C4">
        <w:rPr>
          <w:rFonts w:ascii="Arial" w:hAnsi="Arial" w:cs="Arial"/>
          <w:b/>
          <w:sz w:val="24"/>
          <w:szCs w:val="24"/>
        </w:rPr>
        <w:t xml:space="preserve">when to impose a </w:t>
      </w:r>
      <w:r w:rsidR="00686133">
        <w:rPr>
          <w:rFonts w:ascii="Arial" w:hAnsi="Arial" w:cs="Arial"/>
          <w:b/>
          <w:sz w:val="24"/>
          <w:szCs w:val="24"/>
        </w:rPr>
        <w:t>Civil P</w:t>
      </w:r>
      <w:r w:rsidR="00D631C4">
        <w:rPr>
          <w:rFonts w:ascii="Arial" w:hAnsi="Arial" w:cs="Arial"/>
          <w:b/>
          <w:sz w:val="24"/>
          <w:szCs w:val="24"/>
        </w:rPr>
        <w:t xml:space="preserve">enalty </w:t>
      </w:r>
      <w:r w:rsidR="00686133">
        <w:rPr>
          <w:rFonts w:ascii="Arial" w:hAnsi="Arial" w:cs="Arial"/>
          <w:b/>
          <w:sz w:val="24"/>
          <w:szCs w:val="24"/>
        </w:rPr>
        <w:t xml:space="preserve">Notice </w:t>
      </w:r>
      <w:r w:rsidR="00D631C4">
        <w:rPr>
          <w:rFonts w:ascii="Arial" w:hAnsi="Arial" w:cs="Arial"/>
          <w:b/>
          <w:sz w:val="24"/>
          <w:szCs w:val="24"/>
        </w:rPr>
        <w:t xml:space="preserve">and the </w:t>
      </w:r>
      <w:r w:rsidRPr="008D2BCB">
        <w:rPr>
          <w:rFonts w:ascii="Arial" w:hAnsi="Arial" w:cs="Arial"/>
          <w:b/>
          <w:sz w:val="24"/>
          <w:szCs w:val="24"/>
        </w:rPr>
        <w:t>penalty amount</w:t>
      </w:r>
    </w:p>
    <w:p w:rsidR="001F7276" w:rsidRPr="009B742D" w:rsidRDefault="001F7276" w:rsidP="001F7276">
      <w:pPr>
        <w:pStyle w:val="ListParagraph"/>
        <w:numPr>
          <w:ilvl w:val="0"/>
          <w:numId w:val="3"/>
        </w:numPr>
        <w:ind w:left="709" w:hanging="720"/>
        <w:rPr>
          <w:rFonts w:ascii="Arial" w:hAnsi="Arial" w:cs="Arial"/>
          <w:b/>
          <w:sz w:val="24"/>
          <w:szCs w:val="24"/>
        </w:rPr>
      </w:pPr>
      <w:r w:rsidRPr="009B742D">
        <w:rPr>
          <w:rFonts w:ascii="Arial" w:hAnsi="Arial" w:cs="Arial"/>
          <w:b/>
          <w:sz w:val="24"/>
          <w:szCs w:val="24"/>
        </w:rPr>
        <w:t>Introduction</w:t>
      </w:r>
    </w:p>
    <w:p w:rsidR="006D39D5" w:rsidRPr="00EA4A07" w:rsidRDefault="001B7E51" w:rsidP="006D39D5">
      <w:pPr>
        <w:rPr>
          <w:rFonts w:ascii="Arial" w:hAnsi="Arial" w:cs="Arial"/>
          <w:sz w:val="24"/>
          <w:szCs w:val="24"/>
        </w:rPr>
      </w:pPr>
      <w:r>
        <w:rPr>
          <w:rFonts w:ascii="Arial" w:hAnsi="Arial" w:cs="Arial"/>
          <w:sz w:val="24"/>
          <w:szCs w:val="24"/>
        </w:rPr>
        <w:t>This Policy document sets</w:t>
      </w:r>
      <w:r w:rsidR="006D39D5" w:rsidRPr="00EA4A07">
        <w:rPr>
          <w:rFonts w:ascii="Arial" w:hAnsi="Arial" w:cs="Arial"/>
          <w:sz w:val="24"/>
          <w:szCs w:val="24"/>
        </w:rPr>
        <w:t xml:space="preserve"> out how Tunbridge Wells </w:t>
      </w:r>
      <w:r w:rsidR="00320EF9" w:rsidRPr="00EA4A07">
        <w:rPr>
          <w:rFonts w:ascii="Arial" w:hAnsi="Arial" w:cs="Arial"/>
          <w:sz w:val="24"/>
          <w:szCs w:val="24"/>
        </w:rPr>
        <w:t>Borough</w:t>
      </w:r>
      <w:r w:rsidR="006D39D5" w:rsidRPr="00EA4A07">
        <w:rPr>
          <w:rFonts w:ascii="Arial" w:hAnsi="Arial" w:cs="Arial"/>
          <w:sz w:val="24"/>
          <w:szCs w:val="24"/>
        </w:rPr>
        <w:t xml:space="preserve"> Council will deliver section 249</w:t>
      </w:r>
      <w:r w:rsidR="00D751B2">
        <w:rPr>
          <w:rFonts w:ascii="Arial" w:hAnsi="Arial" w:cs="Arial"/>
          <w:sz w:val="24"/>
          <w:szCs w:val="24"/>
        </w:rPr>
        <w:t>A</w:t>
      </w:r>
      <w:r w:rsidR="00BE3B90">
        <w:rPr>
          <w:rFonts w:ascii="Arial" w:hAnsi="Arial" w:cs="Arial"/>
          <w:sz w:val="24"/>
          <w:szCs w:val="24"/>
        </w:rPr>
        <w:t xml:space="preserve"> of t</w:t>
      </w:r>
      <w:r w:rsidR="006D39D5" w:rsidRPr="00EA4A07">
        <w:rPr>
          <w:rFonts w:ascii="Arial" w:hAnsi="Arial" w:cs="Arial"/>
          <w:sz w:val="24"/>
          <w:szCs w:val="24"/>
        </w:rPr>
        <w:t>he Housing Act 2004 (as implemented by section 126 and Schedule 9 of the Housing and Planning Act 2016)</w:t>
      </w:r>
      <w:r w:rsidR="00BE3B90">
        <w:rPr>
          <w:rFonts w:ascii="Arial" w:hAnsi="Arial" w:cs="Arial"/>
          <w:sz w:val="24"/>
          <w:szCs w:val="24"/>
        </w:rPr>
        <w:t xml:space="preserve"> and section 23 of the Housing and Planning Act </w:t>
      </w:r>
      <w:r w:rsidR="006144B6">
        <w:rPr>
          <w:rFonts w:ascii="Arial" w:hAnsi="Arial" w:cs="Arial"/>
          <w:sz w:val="24"/>
          <w:szCs w:val="24"/>
        </w:rPr>
        <w:t xml:space="preserve">2016 </w:t>
      </w:r>
      <w:r w:rsidR="006144B6" w:rsidRPr="00EA4A07">
        <w:rPr>
          <w:rFonts w:ascii="Arial" w:hAnsi="Arial" w:cs="Arial"/>
          <w:sz w:val="24"/>
          <w:szCs w:val="24"/>
        </w:rPr>
        <w:t>which</w:t>
      </w:r>
      <w:r w:rsidR="00C813A1">
        <w:rPr>
          <w:rFonts w:ascii="Arial" w:hAnsi="Arial" w:cs="Arial"/>
          <w:sz w:val="24"/>
          <w:szCs w:val="24"/>
        </w:rPr>
        <w:t xml:space="preserve"> </w:t>
      </w:r>
      <w:r w:rsidR="00C813A1" w:rsidRPr="003B653C">
        <w:rPr>
          <w:rFonts w:ascii="Arial" w:hAnsi="Arial" w:cs="Arial"/>
          <w:sz w:val="24"/>
        </w:rPr>
        <w:t>allow financial penalties, up to a maximum of £30,000, to be imposed as an altern</w:t>
      </w:r>
      <w:r w:rsidR="00C813A1" w:rsidRPr="00C813A1">
        <w:rPr>
          <w:rFonts w:ascii="Arial" w:hAnsi="Arial" w:cs="Arial"/>
          <w:sz w:val="24"/>
        </w:rPr>
        <w:t xml:space="preserve">ative to prosecution for </w:t>
      </w:r>
      <w:r w:rsidR="00C813A1">
        <w:rPr>
          <w:rFonts w:ascii="Arial" w:hAnsi="Arial" w:cs="Arial"/>
          <w:sz w:val="24"/>
        </w:rPr>
        <w:t>the following</w:t>
      </w:r>
      <w:r w:rsidR="00C813A1" w:rsidRPr="003B653C">
        <w:rPr>
          <w:rFonts w:ascii="Arial" w:hAnsi="Arial" w:cs="Arial"/>
          <w:sz w:val="24"/>
        </w:rPr>
        <w:t xml:space="preserve"> housing offences</w:t>
      </w:r>
    </w:p>
    <w:p w:rsidR="006D39D5" w:rsidRPr="00EA4A07" w:rsidRDefault="006D39D5" w:rsidP="006D39D5">
      <w:pPr>
        <w:pStyle w:val="ListParagraph"/>
        <w:numPr>
          <w:ilvl w:val="0"/>
          <w:numId w:val="1"/>
        </w:numPr>
        <w:rPr>
          <w:rFonts w:ascii="Arial" w:hAnsi="Arial" w:cs="Arial"/>
          <w:sz w:val="24"/>
          <w:szCs w:val="24"/>
        </w:rPr>
      </w:pPr>
      <w:r w:rsidRPr="00EA4A07">
        <w:rPr>
          <w:rFonts w:ascii="Arial" w:hAnsi="Arial" w:cs="Arial"/>
          <w:sz w:val="24"/>
          <w:szCs w:val="24"/>
        </w:rPr>
        <w:t>Failure to comply with an Impro</w:t>
      </w:r>
      <w:r w:rsidR="00866A94" w:rsidRPr="00EA4A07">
        <w:rPr>
          <w:rFonts w:ascii="Arial" w:hAnsi="Arial" w:cs="Arial"/>
          <w:sz w:val="24"/>
          <w:szCs w:val="24"/>
        </w:rPr>
        <w:t>vement Notice (</w:t>
      </w:r>
      <w:r w:rsidR="00405E95">
        <w:rPr>
          <w:rFonts w:ascii="Arial" w:hAnsi="Arial" w:cs="Arial"/>
          <w:sz w:val="24"/>
          <w:szCs w:val="24"/>
        </w:rPr>
        <w:t>s</w:t>
      </w:r>
      <w:r w:rsidR="00866A94" w:rsidRPr="00EA4A07">
        <w:rPr>
          <w:rFonts w:ascii="Arial" w:hAnsi="Arial" w:cs="Arial"/>
          <w:sz w:val="24"/>
          <w:szCs w:val="24"/>
        </w:rPr>
        <w:t>ection 30</w:t>
      </w:r>
      <w:r w:rsidRPr="00EA4A07">
        <w:rPr>
          <w:rFonts w:ascii="Arial" w:hAnsi="Arial" w:cs="Arial"/>
          <w:sz w:val="24"/>
          <w:szCs w:val="24"/>
        </w:rPr>
        <w:t>)</w:t>
      </w:r>
    </w:p>
    <w:p w:rsidR="006D39D5" w:rsidRPr="00EA4A07" w:rsidRDefault="006D39D5" w:rsidP="006D39D5">
      <w:pPr>
        <w:pStyle w:val="ListParagraph"/>
        <w:numPr>
          <w:ilvl w:val="0"/>
          <w:numId w:val="1"/>
        </w:numPr>
        <w:rPr>
          <w:rFonts w:ascii="Arial" w:hAnsi="Arial" w:cs="Arial"/>
          <w:sz w:val="24"/>
          <w:szCs w:val="24"/>
        </w:rPr>
      </w:pPr>
      <w:r w:rsidRPr="00EA4A07">
        <w:rPr>
          <w:rFonts w:ascii="Arial" w:hAnsi="Arial" w:cs="Arial"/>
          <w:sz w:val="24"/>
          <w:szCs w:val="24"/>
        </w:rPr>
        <w:t>Offences in relation to licensing of Houses in Multip</w:t>
      </w:r>
      <w:r w:rsidR="00866A94" w:rsidRPr="00EA4A07">
        <w:rPr>
          <w:rFonts w:ascii="Arial" w:hAnsi="Arial" w:cs="Arial"/>
          <w:sz w:val="24"/>
          <w:szCs w:val="24"/>
        </w:rPr>
        <w:t>le Occupation (section 72</w:t>
      </w:r>
      <w:r w:rsidRPr="00EA4A07">
        <w:rPr>
          <w:rFonts w:ascii="Arial" w:hAnsi="Arial" w:cs="Arial"/>
          <w:sz w:val="24"/>
          <w:szCs w:val="24"/>
        </w:rPr>
        <w:t>)</w:t>
      </w:r>
    </w:p>
    <w:p w:rsidR="006D39D5" w:rsidRPr="00EA4A07" w:rsidRDefault="006D39D5" w:rsidP="006D39D5">
      <w:pPr>
        <w:pStyle w:val="ListParagraph"/>
        <w:numPr>
          <w:ilvl w:val="0"/>
          <w:numId w:val="1"/>
        </w:numPr>
        <w:rPr>
          <w:rFonts w:ascii="Arial" w:hAnsi="Arial" w:cs="Arial"/>
          <w:sz w:val="24"/>
          <w:szCs w:val="24"/>
        </w:rPr>
      </w:pPr>
      <w:r w:rsidRPr="00EA4A07">
        <w:rPr>
          <w:rFonts w:ascii="Arial" w:hAnsi="Arial" w:cs="Arial"/>
          <w:sz w:val="24"/>
          <w:szCs w:val="24"/>
        </w:rPr>
        <w:t>Offences in relation to licensing of houses under Part</w:t>
      </w:r>
      <w:r w:rsidR="00866A94" w:rsidRPr="00EA4A07">
        <w:rPr>
          <w:rFonts w:ascii="Arial" w:hAnsi="Arial" w:cs="Arial"/>
          <w:sz w:val="24"/>
          <w:szCs w:val="24"/>
        </w:rPr>
        <w:t xml:space="preserve"> 3 of the Act (section 95</w:t>
      </w:r>
      <w:r w:rsidRPr="00EA4A07">
        <w:rPr>
          <w:rFonts w:ascii="Arial" w:hAnsi="Arial" w:cs="Arial"/>
          <w:sz w:val="24"/>
          <w:szCs w:val="24"/>
        </w:rPr>
        <w:t>)</w:t>
      </w:r>
    </w:p>
    <w:p w:rsidR="006D39D5" w:rsidRPr="00EA4A07" w:rsidRDefault="006D39D5" w:rsidP="006D39D5">
      <w:pPr>
        <w:pStyle w:val="ListParagraph"/>
        <w:numPr>
          <w:ilvl w:val="0"/>
          <w:numId w:val="1"/>
        </w:numPr>
        <w:rPr>
          <w:rFonts w:ascii="Arial" w:hAnsi="Arial" w:cs="Arial"/>
          <w:sz w:val="24"/>
          <w:szCs w:val="24"/>
        </w:rPr>
      </w:pPr>
      <w:r w:rsidRPr="00EA4A07">
        <w:rPr>
          <w:rFonts w:ascii="Arial" w:hAnsi="Arial" w:cs="Arial"/>
          <w:sz w:val="24"/>
          <w:szCs w:val="24"/>
        </w:rPr>
        <w:t>Offences of contravention of an overcro</w:t>
      </w:r>
      <w:r w:rsidR="00866A94" w:rsidRPr="00EA4A07">
        <w:rPr>
          <w:rFonts w:ascii="Arial" w:hAnsi="Arial" w:cs="Arial"/>
          <w:sz w:val="24"/>
          <w:szCs w:val="24"/>
        </w:rPr>
        <w:t>wding notice (section 139</w:t>
      </w:r>
      <w:r w:rsidRPr="00EA4A07">
        <w:rPr>
          <w:rFonts w:ascii="Arial" w:hAnsi="Arial" w:cs="Arial"/>
          <w:sz w:val="24"/>
          <w:szCs w:val="24"/>
        </w:rPr>
        <w:t>)</w:t>
      </w:r>
    </w:p>
    <w:p w:rsidR="006D39D5" w:rsidRPr="00EA4A07" w:rsidRDefault="006D39D5" w:rsidP="006D39D5">
      <w:pPr>
        <w:pStyle w:val="ListParagraph"/>
        <w:numPr>
          <w:ilvl w:val="0"/>
          <w:numId w:val="1"/>
        </w:numPr>
        <w:rPr>
          <w:rFonts w:ascii="Arial" w:hAnsi="Arial" w:cs="Arial"/>
          <w:sz w:val="24"/>
          <w:szCs w:val="24"/>
        </w:rPr>
      </w:pPr>
      <w:r w:rsidRPr="00EA4A07">
        <w:rPr>
          <w:rFonts w:ascii="Arial" w:hAnsi="Arial" w:cs="Arial"/>
          <w:sz w:val="24"/>
          <w:szCs w:val="24"/>
        </w:rPr>
        <w:t>Failure to comply with management regulations in respect of Houses in Multipl</w:t>
      </w:r>
      <w:r w:rsidR="00866A94" w:rsidRPr="00EA4A07">
        <w:rPr>
          <w:rFonts w:ascii="Arial" w:hAnsi="Arial" w:cs="Arial"/>
          <w:sz w:val="24"/>
          <w:szCs w:val="24"/>
        </w:rPr>
        <w:t>e Occupation (section 234</w:t>
      </w:r>
      <w:r w:rsidRPr="00EA4A07">
        <w:rPr>
          <w:rFonts w:ascii="Arial" w:hAnsi="Arial" w:cs="Arial"/>
          <w:sz w:val="24"/>
          <w:szCs w:val="24"/>
        </w:rPr>
        <w:t>)</w:t>
      </w:r>
    </w:p>
    <w:p w:rsidR="006D39D5" w:rsidRPr="00EA4A07" w:rsidRDefault="006D39D5" w:rsidP="006D39D5">
      <w:pPr>
        <w:pStyle w:val="ListParagraph"/>
        <w:numPr>
          <w:ilvl w:val="0"/>
          <w:numId w:val="1"/>
        </w:numPr>
        <w:rPr>
          <w:rFonts w:ascii="Arial" w:hAnsi="Arial" w:cs="Arial"/>
          <w:sz w:val="24"/>
          <w:szCs w:val="24"/>
        </w:rPr>
      </w:pPr>
      <w:r w:rsidRPr="00EA4A07">
        <w:rPr>
          <w:rFonts w:ascii="Arial" w:hAnsi="Arial" w:cs="Arial"/>
          <w:sz w:val="24"/>
          <w:szCs w:val="24"/>
        </w:rPr>
        <w:t>Breach of a banning order (section 21 of the Housing and Planning Act 2016)</w:t>
      </w:r>
    </w:p>
    <w:p w:rsidR="001F7276" w:rsidRDefault="006D39D5" w:rsidP="006D39D5">
      <w:pPr>
        <w:rPr>
          <w:rFonts w:ascii="Arial" w:hAnsi="Arial" w:cs="Arial"/>
          <w:sz w:val="24"/>
          <w:szCs w:val="24"/>
        </w:rPr>
      </w:pPr>
      <w:r w:rsidRPr="00EA4A07">
        <w:rPr>
          <w:rFonts w:ascii="Arial" w:hAnsi="Arial" w:cs="Arial"/>
          <w:sz w:val="24"/>
          <w:szCs w:val="24"/>
        </w:rPr>
        <w:t xml:space="preserve">The council is required to have a policy in place </w:t>
      </w:r>
      <w:r w:rsidR="00404111">
        <w:rPr>
          <w:rFonts w:ascii="Arial" w:hAnsi="Arial" w:cs="Arial"/>
          <w:sz w:val="24"/>
          <w:szCs w:val="24"/>
        </w:rPr>
        <w:t xml:space="preserve">to determine </w:t>
      </w:r>
      <w:r w:rsidRPr="00EA4A07">
        <w:rPr>
          <w:rFonts w:ascii="Arial" w:hAnsi="Arial" w:cs="Arial"/>
          <w:sz w:val="24"/>
          <w:szCs w:val="24"/>
        </w:rPr>
        <w:t xml:space="preserve">when to prosecute and when to </w:t>
      </w:r>
      <w:r w:rsidR="00404111">
        <w:rPr>
          <w:rFonts w:ascii="Arial" w:hAnsi="Arial" w:cs="Arial"/>
          <w:sz w:val="24"/>
          <w:szCs w:val="24"/>
        </w:rPr>
        <w:t xml:space="preserve">issue </w:t>
      </w:r>
      <w:r w:rsidRPr="00EA4A07">
        <w:rPr>
          <w:rFonts w:ascii="Arial" w:hAnsi="Arial" w:cs="Arial"/>
          <w:sz w:val="24"/>
          <w:szCs w:val="24"/>
        </w:rPr>
        <w:t>a civil penalty</w:t>
      </w:r>
      <w:r w:rsidR="002D289B">
        <w:rPr>
          <w:rFonts w:ascii="Arial" w:hAnsi="Arial" w:cs="Arial"/>
          <w:sz w:val="24"/>
          <w:szCs w:val="24"/>
        </w:rPr>
        <w:t xml:space="preserve">. </w:t>
      </w:r>
      <w:r w:rsidR="001B7E51">
        <w:rPr>
          <w:rFonts w:ascii="Arial" w:hAnsi="Arial" w:cs="Arial"/>
          <w:sz w:val="24"/>
          <w:szCs w:val="24"/>
        </w:rPr>
        <w:t>S</w:t>
      </w:r>
      <w:r w:rsidR="00866A94" w:rsidRPr="00EA4A07">
        <w:rPr>
          <w:rFonts w:ascii="Arial" w:hAnsi="Arial" w:cs="Arial"/>
          <w:sz w:val="24"/>
          <w:szCs w:val="24"/>
        </w:rPr>
        <w:t xml:space="preserve">tatutory </w:t>
      </w:r>
      <w:r w:rsidRPr="00EA4A07">
        <w:rPr>
          <w:rFonts w:ascii="Arial" w:hAnsi="Arial" w:cs="Arial"/>
          <w:sz w:val="24"/>
          <w:szCs w:val="24"/>
        </w:rPr>
        <w:t>guidance</w:t>
      </w:r>
      <w:r w:rsidR="002B1E65">
        <w:rPr>
          <w:rFonts w:ascii="Arial" w:hAnsi="Arial" w:cs="Arial"/>
          <w:sz w:val="24"/>
          <w:szCs w:val="24"/>
        </w:rPr>
        <w:t>, which the Council has had regard to,</w:t>
      </w:r>
      <w:r w:rsidRPr="00EA4A07">
        <w:rPr>
          <w:rFonts w:ascii="Arial" w:hAnsi="Arial" w:cs="Arial"/>
          <w:sz w:val="24"/>
          <w:szCs w:val="24"/>
        </w:rPr>
        <w:t xml:space="preserve"> is</w:t>
      </w:r>
      <w:r w:rsidR="001B7E51">
        <w:rPr>
          <w:rFonts w:ascii="Arial" w:hAnsi="Arial" w:cs="Arial"/>
          <w:sz w:val="24"/>
          <w:szCs w:val="24"/>
        </w:rPr>
        <w:t xml:space="preserve">sued by </w:t>
      </w:r>
      <w:r w:rsidR="002B1E65">
        <w:rPr>
          <w:rFonts w:ascii="Arial" w:hAnsi="Arial" w:cs="Arial"/>
          <w:sz w:val="24"/>
          <w:szCs w:val="24"/>
        </w:rPr>
        <w:t>Ministry of Housing, Communities and Local Government</w:t>
      </w:r>
      <w:r w:rsidR="002B1E65" w:rsidRPr="00EA4A07">
        <w:rPr>
          <w:rFonts w:ascii="Arial" w:hAnsi="Arial" w:cs="Arial"/>
          <w:sz w:val="24"/>
          <w:szCs w:val="24"/>
        </w:rPr>
        <w:t xml:space="preserve"> </w:t>
      </w:r>
      <w:r w:rsidR="00320EF9" w:rsidRPr="00EA4A07">
        <w:rPr>
          <w:rFonts w:ascii="Arial" w:hAnsi="Arial" w:cs="Arial"/>
          <w:sz w:val="24"/>
          <w:szCs w:val="24"/>
        </w:rPr>
        <w:t>details</w:t>
      </w:r>
      <w:r w:rsidRPr="00EA4A07">
        <w:rPr>
          <w:rFonts w:ascii="Arial" w:hAnsi="Arial" w:cs="Arial"/>
          <w:sz w:val="24"/>
          <w:szCs w:val="24"/>
        </w:rPr>
        <w:t xml:space="preserve"> the </w:t>
      </w:r>
      <w:r w:rsidR="00F32865">
        <w:rPr>
          <w:rFonts w:ascii="Arial" w:hAnsi="Arial" w:cs="Arial"/>
          <w:sz w:val="24"/>
          <w:szCs w:val="24"/>
        </w:rPr>
        <w:t xml:space="preserve">factors </w:t>
      </w:r>
      <w:r w:rsidRPr="00EA4A07">
        <w:rPr>
          <w:rFonts w:ascii="Arial" w:hAnsi="Arial" w:cs="Arial"/>
          <w:sz w:val="24"/>
          <w:szCs w:val="24"/>
        </w:rPr>
        <w:t xml:space="preserve">that must be taken </w:t>
      </w:r>
      <w:r w:rsidR="001F7276">
        <w:rPr>
          <w:rFonts w:ascii="Arial" w:hAnsi="Arial" w:cs="Arial"/>
          <w:sz w:val="24"/>
          <w:szCs w:val="24"/>
        </w:rPr>
        <w:t>into account as part of the financial penalty</w:t>
      </w:r>
      <w:r w:rsidRPr="00EA4A07">
        <w:rPr>
          <w:rFonts w:ascii="Arial" w:hAnsi="Arial" w:cs="Arial"/>
          <w:sz w:val="24"/>
          <w:szCs w:val="24"/>
        </w:rPr>
        <w:t xml:space="preserve"> setting process. It places particular emphasis upon the severity of the offence and the landlord’s previous record of offending. </w:t>
      </w:r>
      <w:r w:rsidR="0054325E">
        <w:rPr>
          <w:rFonts w:ascii="Arial" w:hAnsi="Arial" w:cs="Arial"/>
          <w:sz w:val="24"/>
          <w:szCs w:val="24"/>
        </w:rPr>
        <w:t>T</w:t>
      </w:r>
      <w:r w:rsidRPr="00EA4A07">
        <w:rPr>
          <w:rFonts w:ascii="Arial" w:hAnsi="Arial" w:cs="Arial"/>
          <w:sz w:val="24"/>
          <w:szCs w:val="24"/>
        </w:rPr>
        <w:t xml:space="preserve">he </w:t>
      </w:r>
      <w:r w:rsidR="001F7276">
        <w:rPr>
          <w:rFonts w:ascii="Arial" w:hAnsi="Arial" w:cs="Arial"/>
          <w:sz w:val="24"/>
          <w:szCs w:val="24"/>
        </w:rPr>
        <w:t xml:space="preserve">statutory </w:t>
      </w:r>
      <w:r w:rsidRPr="00EA4A07">
        <w:rPr>
          <w:rFonts w:ascii="Arial" w:hAnsi="Arial" w:cs="Arial"/>
          <w:sz w:val="24"/>
          <w:szCs w:val="24"/>
        </w:rPr>
        <w:t>guidance</w:t>
      </w:r>
      <w:r w:rsidR="001F7276">
        <w:rPr>
          <w:rFonts w:ascii="Arial" w:hAnsi="Arial" w:cs="Arial"/>
          <w:sz w:val="24"/>
          <w:szCs w:val="24"/>
        </w:rPr>
        <w:t xml:space="preserve"> can be viewed at: </w:t>
      </w:r>
      <w:hyperlink r:id="rId10" w:history="1">
        <w:r w:rsidR="001F7276" w:rsidRPr="005F139A">
          <w:rPr>
            <w:rStyle w:val="Hyperlink"/>
            <w:rFonts w:ascii="Arial" w:hAnsi="Arial" w:cs="Arial"/>
            <w:sz w:val="24"/>
            <w:szCs w:val="24"/>
          </w:rPr>
          <w:t>https://assets.publishing.service.gov.uk/government/uploads/system/uploads/attachment_data/file/697644/Civil_penalty_guidance.pdf</w:t>
        </w:r>
      </w:hyperlink>
      <w:r w:rsidR="00866A94" w:rsidRPr="00EA4A07">
        <w:rPr>
          <w:rFonts w:ascii="Arial" w:hAnsi="Arial" w:cs="Arial"/>
          <w:sz w:val="24"/>
          <w:szCs w:val="24"/>
        </w:rPr>
        <w:t>.</w:t>
      </w:r>
    </w:p>
    <w:p w:rsidR="00BE4634" w:rsidRPr="009B742D" w:rsidRDefault="001F7276" w:rsidP="006D39D5">
      <w:pPr>
        <w:rPr>
          <w:rFonts w:ascii="Arial" w:hAnsi="Arial" w:cs="Arial"/>
          <w:b/>
          <w:sz w:val="24"/>
          <w:szCs w:val="24"/>
        </w:rPr>
      </w:pPr>
      <w:r w:rsidRPr="009B742D">
        <w:rPr>
          <w:rFonts w:ascii="Arial" w:hAnsi="Arial" w:cs="Arial"/>
          <w:b/>
          <w:sz w:val="24"/>
          <w:szCs w:val="24"/>
        </w:rPr>
        <w:t>2.</w:t>
      </w:r>
      <w:r w:rsidRPr="009B742D">
        <w:rPr>
          <w:rFonts w:ascii="Arial" w:hAnsi="Arial" w:cs="Arial"/>
          <w:b/>
          <w:sz w:val="24"/>
          <w:szCs w:val="24"/>
        </w:rPr>
        <w:tab/>
      </w:r>
      <w:r w:rsidR="00BE4634" w:rsidRPr="009B742D">
        <w:rPr>
          <w:rFonts w:ascii="Arial" w:hAnsi="Arial" w:cs="Arial"/>
          <w:b/>
          <w:sz w:val="24"/>
          <w:szCs w:val="24"/>
        </w:rPr>
        <w:t xml:space="preserve">Decision making process involved in </w:t>
      </w:r>
      <w:r w:rsidR="00686133">
        <w:rPr>
          <w:rFonts w:ascii="Arial" w:hAnsi="Arial" w:cs="Arial"/>
          <w:b/>
          <w:sz w:val="24"/>
          <w:szCs w:val="24"/>
        </w:rPr>
        <w:t>imposing</w:t>
      </w:r>
      <w:r w:rsidR="00686133" w:rsidRPr="009B742D">
        <w:rPr>
          <w:rFonts w:ascii="Arial" w:hAnsi="Arial" w:cs="Arial"/>
          <w:b/>
          <w:sz w:val="24"/>
          <w:szCs w:val="24"/>
        </w:rPr>
        <w:t xml:space="preserve"> </w:t>
      </w:r>
      <w:r w:rsidR="00BE4634" w:rsidRPr="009B742D">
        <w:rPr>
          <w:rFonts w:ascii="Arial" w:hAnsi="Arial" w:cs="Arial"/>
          <w:b/>
          <w:sz w:val="24"/>
          <w:szCs w:val="24"/>
        </w:rPr>
        <w:t>a Civil Penalty Notice</w:t>
      </w:r>
      <w:r w:rsidR="00320EF9" w:rsidRPr="009B742D">
        <w:rPr>
          <w:rFonts w:ascii="Arial" w:hAnsi="Arial" w:cs="Arial"/>
          <w:b/>
          <w:sz w:val="24"/>
          <w:szCs w:val="24"/>
        </w:rPr>
        <w:t xml:space="preserve"> </w:t>
      </w:r>
      <w:r w:rsidR="00F31E66">
        <w:rPr>
          <w:rFonts w:ascii="Arial" w:hAnsi="Arial" w:cs="Arial"/>
          <w:b/>
          <w:sz w:val="24"/>
          <w:szCs w:val="24"/>
        </w:rPr>
        <w:tab/>
      </w:r>
      <w:r w:rsidR="00320EF9" w:rsidRPr="009B742D">
        <w:rPr>
          <w:rFonts w:ascii="Arial" w:hAnsi="Arial" w:cs="Arial"/>
          <w:b/>
          <w:sz w:val="24"/>
          <w:szCs w:val="24"/>
        </w:rPr>
        <w:t>(CPN)</w:t>
      </w:r>
    </w:p>
    <w:p w:rsidR="00BE4634" w:rsidRDefault="00BD0563" w:rsidP="006D39D5">
      <w:pPr>
        <w:rPr>
          <w:rFonts w:ascii="Arial" w:hAnsi="Arial" w:cs="Arial"/>
          <w:sz w:val="24"/>
          <w:szCs w:val="24"/>
        </w:rPr>
      </w:pPr>
      <w:r>
        <w:rPr>
          <w:rFonts w:ascii="Arial" w:hAnsi="Arial" w:cs="Arial"/>
          <w:sz w:val="24"/>
          <w:szCs w:val="24"/>
        </w:rPr>
        <w:t xml:space="preserve">Officers will assess each case carefully to identify and apply the appropriate sanction dependant on the severity of the offence and </w:t>
      </w:r>
      <w:r w:rsidR="00D31182">
        <w:rPr>
          <w:rFonts w:ascii="Arial" w:hAnsi="Arial" w:cs="Arial"/>
          <w:sz w:val="24"/>
          <w:szCs w:val="24"/>
        </w:rPr>
        <w:t xml:space="preserve">any </w:t>
      </w:r>
      <w:r w:rsidR="00E30775">
        <w:rPr>
          <w:rFonts w:ascii="Arial" w:hAnsi="Arial" w:cs="Arial"/>
          <w:sz w:val="24"/>
          <w:szCs w:val="24"/>
        </w:rPr>
        <w:t xml:space="preserve">other relevant </w:t>
      </w:r>
      <w:r>
        <w:rPr>
          <w:rFonts w:ascii="Arial" w:hAnsi="Arial" w:cs="Arial"/>
          <w:sz w:val="24"/>
          <w:szCs w:val="24"/>
        </w:rPr>
        <w:t>circumstance</w:t>
      </w:r>
      <w:r w:rsidR="00D31182">
        <w:rPr>
          <w:rFonts w:ascii="Arial" w:hAnsi="Arial" w:cs="Arial"/>
          <w:sz w:val="24"/>
          <w:szCs w:val="24"/>
        </w:rPr>
        <w:t>s</w:t>
      </w:r>
      <w:r>
        <w:rPr>
          <w:rFonts w:ascii="Arial" w:hAnsi="Arial" w:cs="Arial"/>
          <w:sz w:val="24"/>
          <w:szCs w:val="24"/>
        </w:rPr>
        <w:t>. The same criminal standard of proof is required for a</w:t>
      </w:r>
      <w:r w:rsidR="00B93676">
        <w:rPr>
          <w:rFonts w:ascii="Arial" w:hAnsi="Arial" w:cs="Arial"/>
          <w:sz w:val="24"/>
          <w:szCs w:val="24"/>
        </w:rPr>
        <w:t xml:space="preserve"> civil penalty as for prosecution in the </w:t>
      </w:r>
      <w:r w:rsidR="00AD470D">
        <w:rPr>
          <w:rFonts w:ascii="Arial" w:hAnsi="Arial" w:cs="Arial"/>
          <w:sz w:val="24"/>
          <w:szCs w:val="24"/>
        </w:rPr>
        <w:t>M</w:t>
      </w:r>
      <w:r w:rsidR="005721BF" w:rsidRPr="00EA4A07">
        <w:rPr>
          <w:rFonts w:ascii="Arial" w:hAnsi="Arial" w:cs="Arial"/>
          <w:sz w:val="24"/>
          <w:szCs w:val="24"/>
        </w:rPr>
        <w:t>agistrates</w:t>
      </w:r>
      <w:r w:rsidR="00AD470D">
        <w:rPr>
          <w:rFonts w:ascii="Arial" w:hAnsi="Arial" w:cs="Arial"/>
          <w:sz w:val="24"/>
          <w:szCs w:val="24"/>
        </w:rPr>
        <w:t>’</w:t>
      </w:r>
      <w:r w:rsidR="00BE4634" w:rsidRPr="00EA4A07">
        <w:rPr>
          <w:rFonts w:ascii="Arial" w:hAnsi="Arial" w:cs="Arial"/>
          <w:sz w:val="24"/>
          <w:szCs w:val="24"/>
        </w:rPr>
        <w:t xml:space="preserve"> </w:t>
      </w:r>
      <w:r w:rsidR="00AD470D">
        <w:rPr>
          <w:rFonts w:ascii="Arial" w:hAnsi="Arial" w:cs="Arial"/>
          <w:sz w:val="24"/>
          <w:szCs w:val="24"/>
        </w:rPr>
        <w:t>C</w:t>
      </w:r>
      <w:r w:rsidR="00BE4634" w:rsidRPr="00EA4A07">
        <w:rPr>
          <w:rFonts w:ascii="Arial" w:hAnsi="Arial" w:cs="Arial"/>
          <w:sz w:val="24"/>
          <w:szCs w:val="24"/>
        </w:rPr>
        <w:t>ourt.</w:t>
      </w:r>
      <w:r w:rsidR="00D631C4">
        <w:rPr>
          <w:rFonts w:ascii="Arial" w:hAnsi="Arial" w:cs="Arial"/>
          <w:sz w:val="24"/>
          <w:szCs w:val="24"/>
        </w:rPr>
        <w:t xml:space="preserve"> </w:t>
      </w:r>
      <w:r w:rsidR="0078730B">
        <w:rPr>
          <w:rFonts w:ascii="Arial" w:hAnsi="Arial" w:cs="Arial"/>
          <w:sz w:val="24"/>
          <w:szCs w:val="24"/>
        </w:rPr>
        <w:t xml:space="preserve">To </w:t>
      </w:r>
      <w:r w:rsidR="00AD470D">
        <w:rPr>
          <w:rFonts w:ascii="Arial" w:hAnsi="Arial" w:cs="Arial"/>
          <w:sz w:val="24"/>
          <w:szCs w:val="24"/>
        </w:rPr>
        <w:t xml:space="preserve">impose a civil </w:t>
      </w:r>
      <w:r w:rsidR="00AD470D" w:rsidRPr="00F31E66">
        <w:rPr>
          <w:rFonts w:ascii="Arial" w:hAnsi="Arial" w:cs="Arial"/>
          <w:sz w:val="24"/>
          <w:szCs w:val="24"/>
        </w:rPr>
        <w:t>penalty</w:t>
      </w:r>
      <w:r w:rsidR="0078730B">
        <w:rPr>
          <w:rFonts w:ascii="Arial" w:hAnsi="Arial" w:cs="Arial"/>
          <w:sz w:val="24"/>
          <w:szCs w:val="24"/>
        </w:rPr>
        <w:t xml:space="preserve"> the Council needs to </w:t>
      </w:r>
      <w:r w:rsidR="00AD470D">
        <w:rPr>
          <w:rFonts w:ascii="Arial" w:hAnsi="Arial" w:cs="Arial"/>
          <w:sz w:val="24"/>
          <w:szCs w:val="24"/>
        </w:rPr>
        <w:t xml:space="preserve">be satisfied and able to </w:t>
      </w:r>
      <w:r w:rsidR="0078730B">
        <w:rPr>
          <w:rFonts w:ascii="Arial" w:hAnsi="Arial" w:cs="Arial"/>
          <w:sz w:val="24"/>
          <w:szCs w:val="24"/>
        </w:rPr>
        <w:t xml:space="preserve">demonstrate ‘beyond reasonable doubt’ that </w:t>
      </w:r>
      <w:r w:rsidR="00D631C4">
        <w:rPr>
          <w:rFonts w:ascii="Arial" w:hAnsi="Arial" w:cs="Arial"/>
          <w:sz w:val="24"/>
          <w:szCs w:val="24"/>
        </w:rPr>
        <w:t>an offence has been committed.</w:t>
      </w:r>
    </w:p>
    <w:p w:rsidR="00BE3B90" w:rsidRPr="00EA4A07" w:rsidRDefault="00BE3B90" w:rsidP="006D39D5">
      <w:pPr>
        <w:rPr>
          <w:rFonts w:ascii="Arial" w:hAnsi="Arial" w:cs="Arial"/>
          <w:sz w:val="24"/>
          <w:szCs w:val="24"/>
        </w:rPr>
      </w:pPr>
      <w:r w:rsidRPr="005747AE">
        <w:rPr>
          <w:rFonts w:ascii="Arial" w:hAnsi="Arial" w:cs="Arial"/>
          <w:sz w:val="24"/>
          <w:szCs w:val="24"/>
        </w:rPr>
        <w:t>Consideration</w:t>
      </w:r>
      <w:r w:rsidRPr="006144B6">
        <w:rPr>
          <w:rFonts w:ascii="Arial" w:hAnsi="Arial" w:cs="Arial"/>
          <w:sz w:val="24"/>
          <w:szCs w:val="24"/>
        </w:rPr>
        <w:t xml:space="preserve"> will be given to the </w:t>
      </w:r>
      <w:r w:rsidR="004576B6">
        <w:rPr>
          <w:rFonts w:ascii="Arial" w:hAnsi="Arial" w:cs="Arial"/>
          <w:sz w:val="24"/>
          <w:szCs w:val="24"/>
        </w:rPr>
        <w:t>evidential</w:t>
      </w:r>
      <w:r w:rsidR="00D80540">
        <w:rPr>
          <w:rFonts w:ascii="Arial" w:hAnsi="Arial" w:cs="Arial"/>
          <w:sz w:val="24"/>
          <w:szCs w:val="24"/>
        </w:rPr>
        <w:t xml:space="preserve"> test within the </w:t>
      </w:r>
      <w:r w:rsidRPr="006144B6">
        <w:rPr>
          <w:rFonts w:ascii="Arial" w:hAnsi="Arial" w:cs="Arial"/>
          <w:sz w:val="24"/>
          <w:szCs w:val="24"/>
        </w:rPr>
        <w:t>Code for Crown Prosecutors (</w:t>
      </w:r>
      <w:hyperlink r:id="rId11" w:history="1">
        <w:r w:rsidRPr="006144B6">
          <w:rPr>
            <w:rStyle w:val="Hyperlink"/>
            <w:rFonts w:ascii="Arial" w:hAnsi="Arial" w:cs="Arial"/>
            <w:sz w:val="24"/>
            <w:szCs w:val="24"/>
          </w:rPr>
          <w:t>https://www.cps.gov.uk/publication/code-crown-prosecutors</w:t>
        </w:r>
      </w:hyperlink>
      <w:r w:rsidRPr="005747AE">
        <w:rPr>
          <w:rFonts w:ascii="Arial" w:hAnsi="Arial" w:cs="Arial"/>
          <w:sz w:val="24"/>
          <w:szCs w:val="24"/>
        </w:rPr>
        <w:t>)</w:t>
      </w:r>
      <w:r w:rsidR="00B031A9">
        <w:rPr>
          <w:rFonts w:ascii="Arial" w:hAnsi="Arial" w:cs="Arial"/>
          <w:sz w:val="24"/>
          <w:szCs w:val="24"/>
        </w:rPr>
        <w:t xml:space="preserve"> </w:t>
      </w:r>
      <w:r w:rsidR="00B031A9" w:rsidRPr="00B031A9">
        <w:rPr>
          <w:rFonts w:ascii="Arial" w:hAnsi="Arial" w:cs="Arial"/>
          <w:sz w:val="24"/>
          <w:szCs w:val="24"/>
        </w:rPr>
        <w:t>as it provides advice on the extent to which there is likely to be sufficient evidence to secure a conviction.  The Code has two stages: (</w:t>
      </w:r>
      <w:proofErr w:type="spellStart"/>
      <w:r w:rsidR="00B031A9" w:rsidRPr="00B031A9">
        <w:rPr>
          <w:rFonts w:ascii="Arial" w:hAnsi="Arial" w:cs="Arial"/>
          <w:sz w:val="24"/>
          <w:szCs w:val="24"/>
        </w:rPr>
        <w:t>i</w:t>
      </w:r>
      <w:proofErr w:type="spellEnd"/>
      <w:r w:rsidR="00B031A9" w:rsidRPr="00B031A9">
        <w:rPr>
          <w:rFonts w:ascii="Arial" w:hAnsi="Arial" w:cs="Arial"/>
          <w:sz w:val="24"/>
          <w:szCs w:val="24"/>
        </w:rPr>
        <w:t>) the evidential stage and (ii) the public interest stage.</w:t>
      </w:r>
    </w:p>
    <w:p w:rsidR="00E32737" w:rsidRDefault="00BE4634" w:rsidP="00222B7D">
      <w:pPr>
        <w:pStyle w:val="Default"/>
        <w:rPr>
          <w:sz w:val="23"/>
          <w:szCs w:val="23"/>
        </w:rPr>
      </w:pPr>
      <w:r w:rsidRPr="00EA4A07">
        <w:lastRenderedPageBreak/>
        <w:t xml:space="preserve">Once satisfied </w:t>
      </w:r>
      <w:r w:rsidR="00AD470D">
        <w:t>beyond reasonable doubt</w:t>
      </w:r>
      <w:r w:rsidR="00F6233E">
        <w:t xml:space="preserve"> that the conduct amounts to a relevant offence</w:t>
      </w:r>
      <w:r w:rsidRPr="00EA4A07">
        <w:t xml:space="preserve"> a decision</w:t>
      </w:r>
      <w:r w:rsidR="00320EF9" w:rsidRPr="00EA4A07">
        <w:t xml:space="preserve"> will be</w:t>
      </w:r>
      <w:r w:rsidR="00984C74" w:rsidRPr="00EA4A07">
        <w:t xml:space="preserve"> taken on a case by case basis</w:t>
      </w:r>
      <w:r w:rsidR="00320EF9" w:rsidRPr="00EA4A07">
        <w:t xml:space="preserve">, </w:t>
      </w:r>
      <w:r w:rsidR="001F7276">
        <w:t>whether to prosecute or</w:t>
      </w:r>
      <w:r w:rsidRPr="00EA4A07">
        <w:t xml:space="preserve"> issue a civil penalty</w:t>
      </w:r>
      <w:r w:rsidR="001F7276">
        <w:t xml:space="preserve"> notice.</w:t>
      </w:r>
      <w:r w:rsidR="00222B7D">
        <w:t xml:space="preserve"> </w:t>
      </w:r>
      <w:r w:rsidR="00E32737" w:rsidRPr="00EA4A07">
        <w:t xml:space="preserve">It will be Council policy to use the civil penalty route as the principal </w:t>
      </w:r>
      <w:r w:rsidR="00E32737">
        <w:t xml:space="preserve">way to both punish a </w:t>
      </w:r>
      <w:r w:rsidR="00D31182">
        <w:t>person</w:t>
      </w:r>
      <w:r w:rsidR="00E32737">
        <w:t xml:space="preserve"> </w:t>
      </w:r>
      <w:r w:rsidR="00E32737" w:rsidRPr="00EA4A07">
        <w:t>and deter reoffending</w:t>
      </w:r>
      <w:r w:rsidR="00E32737">
        <w:t>, however</w:t>
      </w:r>
      <w:r w:rsidR="00222B7D">
        <w:t xml:space="preserve"> </w:t>
      </w:r>
      <w:r w:rsidR="00E32737" w:rsidRPr="00866B52">
        <w:rPr>
          <w:szCs w:val="23"/>
        </w:rPr>
        <w:t>p</w:t>
      </w:r>
      <w:r w:rsidR="00222B7D" w:rsidRPr="00866B52">
        <w:rPr>
          <w:szCs w:val="23"/>
        </w:rPr>
        <w:t>rosecution may be the most appropriate option where an offence is particularly serious and would always be the choice of action in cases of serious injury or death</w:t>
      </w:r>
      <w:r w:rsidR="00D631C4">
        <w:rPr>
          <w:sz w:val="23"/>
          <w:szCs w:val="23"/>
        </w:rPr>
        <w:t>.</w:t>
      </w:r>
      <w:r w:rsidR="00222B7D">
        <w:rPr>
          <w:sz w:val="23"/>
          <w:szCs w:val="23"/>
        </w:rPr>
        <w:t xml:space="preserve"> </w:t>
      </w:r>
    </w:p>
    <w:p w:rsidR="00E32737" w:rsidRDefault="00E32737" w:rsidP="00222B7D">
      <w:pPr>
        <w:pStyle w:val="Default"/>
        <w:rPr>
          <w:sz w:val="23"/>
          <w:szCs w:val="23"/>
        </w:rPr>
      </w:pPr>
    </w:p>
    <w:p w:rsidR="00222B7D" w:rsidRDefault="00E32737" w:rsidP="00222B7D">
      <w:pPr>
        <w:pStyle w:val="Default"/>
        <w:rPr>
          <w:rFonts w:eastAsia="Times New Roman"/>
        </w:rPr>
      </w:pPr>
      <w:r w:rsidRPr="00F6233E">
        <w:t xml:space="preserve">A civil penalty matrix has been created for officers to use as a guideline to </w:t>
      </w:r>
      <w:r w:rsidRPr="00F6233E">
        <w:rPr>
          <w:rFonts w:eastAsia="Times New Roman"/>
        </w:rPr>
        <w:t>determine the most appropriate</w:t>
      </w:r>
      <w:r w:rsidR="00F6233E">
        <w:rPr>
          <w:rFonts w:eastAsia="Times New Roman"/>
        </w:rPr>
        <w:t xml:space="preserve"> level of civil</w:t>
      </w:r>
      <w:r w:rsidRPr="00F6233E">
        <w:rPr>
          <w:rFonts w:eastAsia="Times New Roman"/>
        </w:rPr>
        <w:t xml:space="preserve"> penalty which can be imposed</w:t>
      </w:r>
      <w:r w:rsidR="00F6233E">
        <w:rPr>
          <w:rFonts w:eastAsia="Times New Roman"/>
        </w:rPr>
        <w:t>,</w:t>
      </w:r>
      <w:r w:rsidRPr="00F6233E">
        <w:rPr>
          <w:rFonts w:eastAsia="Times New Roman"/>
        </w:rPr>
        <w:t xml:space="preserve"> up to a maximum of £30,000 (see Appendix A</w:t>
      </w:r>
      <w:r w:rsidR="00D631C4" w:rsidRPr="00F6233E">
        <w:rPr>
          <w:rFonts w:eastAsia="Times New Roman"/>
        </w:rPr>
        <w:t>).</w:t>
      </w:r>
      <w:r w:rsidRPr="00F6233E">
        <w:rPr>
          <w:rFonts w:eastAsia="Times New Roman"/>
        </w:rPr>
        <w:t xml:space="preserve"> The Council will determine the offence category using a number of factors including </w:t>
      </w:r>
      <w:r w:rsidR="007035A7">
        <w:rPr>
          <w:rFonts w:eastAsia="Times New Roman"/>
        </w:rPr>
        <w:t xml:space="preserve">severity of the offence, </w:t>
      </w:r>
      <w:r w:rsidRPr="00F6233E">
        <w:rPr>
          <w:rFonts w:eastAsia="Times New Roman"/>
        </w:rPr>
        <w:t>culpability</w:t>
      </w:r>
      <w:r w:rsidR="007035A7">
        <w:rPr>
          <w:rFonts w:eastAsia="Times New Roman"/>
        </w:rPr>
        <w:t xml:space="preserve"> and track record</w:t>
      </w:r>
      <w:r w:rsidRPr="00F6233E">
        <w:rPr>
          <w:rFonts w:eastAsia="Times New Roman"/>
        </w:rPr>
        <w:t xml:space="preserve"> of the offender, risk of harm a</w:t>
      </w:r>
      <w:r w:rsidR="00D631C4" w:rsidRPr="00F6233E">
        <w:rPr>
          <w:rFonts w:eastAsia="Times New Roman"/>
        </w:rPr>
        <w:t>nd actual harm</w:t>
      </w:r>
      <w:r w:rsidR="007035A7">
        <w:rPr>
          <w:rFonts w:eastAsia="Times New Roman"/>
        </w:rPr>
        <w:t xml:space="preserve"> caused to the tenant, punishment of the offender, deterring future offending and removing any financial benefit from offending</w:t>
      </w:r>
      <w:r w:rsidR="00D631C4" w:rsidRPr="00F6233E">
        <w:rPr>
          <w:rFonts w:eastAsia="Times New Roman"/>
        </w:rPr>
        <w:t xml:space="preserve">. </w:t>
      </w:r>
      <w:r w:rsidRPr="00F6233E">
        <w:rPr>
          <w:rFonts w:eastAsia="Times New Roman"/>
        </w:rPr>
        <w:t>Th</w:t>
      </w:r>
      <w:r w:rsidR="007035A7">
        <w:rPr>
          <w:rFonts w:eastAsia="Times New Roman"/>
        </w:rPr>
        <w:t>e</w:t>
      </w:r>
      <w:r w:rsidRPr="00F6233E">
        <w:rPr>
          <w:rFonts w:eastAsia="Times New Roman"/>
        </w:rPr>
        <w:t xml:space="preserve"> matrix</w:t>
      </w:r>
      <w:r w:rsidRPr="00222B7D">
        <w:rPr>
          <w:rFonts w:eastAsia="Times New Roman"/>
        </w:rPr>
        <w:t xml:space="preserve"> will also be used to offer transparency, aid consistency in the enforcement process and assist in the defending of appeals in the F</w:t>
      </w:r>
      <w:r w:rsidR="00E30775">
        <w:rPr>
          <w:rFonts w:eastAsia="Times New Roman"/>
        </w:rPr>
        <w:t xml:space="preserve">irst </w:t>
      </w:r>
      <w:r w:rsidRPr="00222B7D">
        <w:rPr>
          <w:rFonts w:eastAsia="Times New Roman"/>
        </w:rPr>
        <w:t>T</w:t>
      </w:r>
      <w:r w:rsidR="00E30775">
        <w:rPr>
          <w:rFonts w:eastAsia="Times New Roman"/>
        </w:rPr>
        <w:t xml:space="preserve">ier </w:t>
      </w:r>
      <w:r w:rsidRPr="00222B7D">
        <w:rPr>
          <w:rFonts w:eastAsia="Times New Roman"/>
        </w:rPr>
        <w:t>T</w:t>
      </w:r>
      <w:r w:rsidR="00E30775">
        <w:rPr>
          <w:rFonts w:eastAsia="Times New Roman"/>
        </w:rPr>
        <w:t>ribunal (Property Chamber)</w:t>
      </w:r>
      <w:r w:rsidR="00D631C4">
        <w:rPr>
          <w:rFonts w:eastAsia="Times New Roman"/>
        </w:rPr>
        <w:t>.</w:t>
      </w:r>
    </w:p>
    <w:p w:rsidR="00E32737" w:rsidRDefault="00E32737" w:rsidP="00222B7D">
      <w:pPr>
        <w:pStyle w:val="Default"/>
        <w:rPr>
          <w:rFonts w:eastAsia="Times New Roman"/>
        </w:rPr>
      </w:pPr>
    </w:p>
    <w:p w:rsidR="00E32737" w:rsidRDefault="00AB0816" w:rsidP="00E32737">
      <w:pPr>
        <w:spacing w:after="0" w:line="240" w:lineRule="auto"/>
        <w:rPr>
          <w:rFonts w:ascii="Arial" w:eastAsia="Times New Roman" w:hAnsi="Arial" w:cs="Arial"/>
          <w:sz w:val="24"/>
          <w:szCs w:val="24"/>
        </w:rPr>
      </w:pPr>
      <w:r w:rsidRPr="003B653C">
        <w:rPr>
          <w:rFonts w:ascii="Arial" w:eastAsia="Times New Roman" w:hAnsi="Arial" w:cs="Arial"/>
          <w:sz w:val="24"/>
          <w:szCs w:val="24"/>
        </w:rPr>
        <w:t>The Council</w:t>
      </w:r>
      <w:r>
        <w:rPr>
          <w:rFonts w:ascii="Arial" w:eastAsia="Times New Roman" w:hAnsi="Arial" w:cs="Arial"/>
          <w:sz w:val="24"/>
          <w:szCs w:val="24"/>
        </w:rPr>
        <w:t>’</w:t>
      </w:r>
      <w:r w:rsidRPr="003B653C">
        <w:rPr>
          <w:rFonts w:ascii="Arial" w:eastAsia="Times New Roman" w:hAnsi="Arial" w:cs="Arial"/>
          <w:sz w:val="24"/>
          <w:szCs w:val="24"/>
        </w:rPr>
        <w:t>s policy will</w:t>
      </w:r>
      <w:r>
        <w:rPr>
          <w:rFonts w:ascii="Arial" w:eastAsia="Times New Roman" w:hAnsi="Arial" w:cs="Arial"/>
          <w:sz w:val="24"/>
          <w:szCs w:val="24"/>
        </w:rPr>
        <w:t>,</w:t>
      </w:r>
      <w:r w:rsidRPr="003B653C">
        <w:rPr>
          <w:rFonts w:ascii="Arial" w:eastAsia="Times New Roman" w:hAnsi="Arial" w:cs="Arial"/>
          <w:sz w:val="24"/>
          <w:szCs w:val="24"/>
        </w:rPr>
        <w:t xml:space="preserve"> in serious cases and when</w:t>
      </w:r>
      <w:r>
        <w:rPr>
          <w:rFonts w:eastAsia="Times New Roman"/>
        </w:rPr>
        <w:t xml:space="preserve"> </w:t>
      </w:r>
      <w:r>
        <w:rPr>
          <w:rFonts w:ascii="Arial" w:eastAsia="Times New Roman" w:hAnsi="Arial" w:cs="Arial"/>
          <w:sz w:val="24"/>
          <w:szCs w:val="24"/>
        </w:rPr>
        <w:t xml:space="preserve">proportionate to do so, be to issue the maximum penalty. </w:t>
      </w:r>
      <w:r w:rsidR="00E32737" w:rsidRPr="00222B7D">
        <w:rPr>
          <w:rFonts w:ascii="Arial" w:eastAsia="Times New Roman" w:hAnsi="Arial" w:cs="Arial"/>
          <w:sz w:val="24"/>
          <w:szCs w:val="24"/>
        </w:rPr>
        <w:t xml:space="preserve">It is </w:t>
      </w:r>
      <w:r w:rsidR="00457D60">
        <w:rPr>
          <w:rFonts w:ascii="Arial" w:eastAsia="Times New Roman" w:hAnsi="Arial" w:cs="Arial"/>
          <w:sz w:val="24"/>
          <w:szCs w:val="24"/>
        </w:rPr>
        <w:t>intended this</w:t>
      </w:r>
      <w:r w:rsidR="00E32737" w:rsidRPr="00222B7D">
        <w:rPr>
          <w:rFonts w:ascii="Arial" w:eastAsia="Times New Roman" w:hAnsi="Arial" w:cs="Arial"/>
          <w:sz w:val="24"/>
          <w:szCs w:val="24"/>
        </w:rPr>
        <w:t xml:space="preserve"> will help achieve the maximum deterrent for criminal landlord behaviour</w:t>
      </w:r>
      <w:r w:rsidR="00015974">
        <w:rPr>
          <w:rFonts w:ascii="Arial" w:eastAsia="Times New Roman" w:hAnsi="Arial" w:cs="Arial"/>
          <w:sz w:val="24"/>
          <w:szCs w:val="24"/>
        </w:rPr>
        <w:t xml:space="preserve"> and</w:t>
      </w:r>
      <w:r w:rsidR="00E32737" w:rsidRPr="00222B7D">
        <w:rPr>
          <w:rFonts w:ascii="Arial" w:eastAsia="Times New Roman" w:hAnsi="Arial" w:cs="Arial"/>
          <w:sz w:val="24"/>
          <w:szCs w:val="24"/>
        </w:rPr>
        <w:t xml:space="preserve"> drive landlord behaviour change</w:t>
      </w:r>
      <w:r w:rsidR="00F6233E">
        <w:rPr>
          <w:rFonts w:ascii="Arial" w:eastAsia="Times New Roman" w:hAnsi="Arial" w:cs="Arial"/>
          <w:sz w:val="24"/>
          <w:szCs w:val="24"/>
        </w:rPr>
        <w:t>.</w:t>
      </w:r>
      <w:r w:rsidR="00E32737" w:rsidRPr="00222B7D">
        <w:rPr>
          <w:rFonts w:ascii="Arial" w:eastAsia="Times New Roman" w:hAnsi="Arial" w:cs="Arial"/>
          <w:sz w:val="24"/>
          <w:szCs w:val="24"/>
        </w:rPr>
        <w:t xml:space="preserve"> </w:t>
      </w:r>
    </w:p>
    <w:p w:rsidR="00D676A6" w:rsidRDefault="00D676A6" w:rsidP="00E32737">
      <w:pPr>
        <w:spacing w:after="0" w:line="240" w:lineRule="auto"/>
        <w:rPr>
          <w:rFonts w:ascii="Arial" w:eastAsia="Times New Roman" w:hAnsi="Arial" w:cs="Arial"/>
          <w:sz w:val="24"/>
          <w:szCs w:val="24"/>
        </w:rPr>
      </w:pPr>
    </w:p>
    <w:p w:rsidR="00BB2F15" w:rsidRPr="003B653C" w:rsidRDefault="00EE4EF1" w:rsidP="003B653C">
      <w:pPr>
        <w:tabs>
          <w:tab w:val="left" w:pos="-567"/>
        </w:tabs>
        <w:ind w:hanging="284"/>
        <w:rPr>
          <w:rFonts w:ascii="Arial" w:hAnsi="Arial" w:cs="Arial"/>
          <w:b/>
          <w:bCs/>
          <w:sz w:val="24"/>
          <w:szCs w:val="24"/>
        </w:rPr>
      </w:pPr>
      <w:r w:rsidRPr="00EA4A07">
        <w:rPr>
          <w:rFonts w:ascii="Arial" w:hAnsi="Arial" w:cs="Arial"/>
          <w:sz w:val="24"/>
          <w:szCs w:val="24"/>
        </w:rPr>
        <w:t xml:space="preserve"> </w:t>
      </w:r>
      <w:r w:rsidR="00D631C4">
        <w:rPr>
          <w:rFonts w:ascii="Arial" w:hAnsi="Arial" w:cs="Arial"/>
          <w:b/>
          <w:bCs/>
          <w:sz w:val="24"/>
          <w:szCs w:val="24"/>
        </w:rPr>
        <w:t xml:space="preserve">3. </w:t>
      </w:r>
      <w:r w:rsidR="00F6233E">
        <w:rPr>
          <w:rFonts w:ascii="Arial" w:hAnsi="Arial" w:cs="Arial"/>
          <w:b/>
          <w:bCs/>
          <w:sz w:val="24"/>
          <w:szCs w:val="24"/>
        </w:rPr>
        <w:tab/>
      </w:r>
      <w:r w:rsidR="00BB2F15" w:rsidRPr="003B653C">
        <w:rPr>
          <w:rFonts w:ascii="Arial" w:hAnsi="Arial" w:cs="Arial"/>
          <w:b/>
          <w:bCs/>
          <w:sz w:val="24"/>
          <w:szCs w:val="24"/>
        </w:rPr>
        <w:t xml:space="preserve">Process for imposing </w:t>
      </w:r>
      <w:r w:rsidR="00686133">
        <w:rPr>
          <w:rFonts w:ascii="Arial" w:hAnsi="Arial" w:cs="Arial"/>
          <w:b/>
          <w:bCs/>
          <w:sz w:val="24"/>
          <w:szCs w:val="24"/>
        </w:rPr>
        <w:t>a Civil P</w:t>
      </w:r>
      <w:r w:rsidR="00BB2F15" w:rsidRPr="003B653C">
        <w:rPr>
          <w:rFonts w:ascii="Arial" w:hAnsi="Arial" w:cs="Arial"/>
          <w:b/>
          <w:bCs/>
          <w:sz w:val="24"/>
          <w:szCs w:val="24"/>
        </w:rPr>
        <w:t xml:space="preserve">enalty </w:t>
      </w:r>
      <w:r w:rsidR="00686133">
        <w:rPr>
          <w:rFonts w:ascii="Arial" w:hAnsi="Arial" w:cs="Arial"/>
          <w:b/>
          <w:bCs/>
          <w:sz w:val="24"/>
          <w:szCs w:val="24"/>
        </w:rPr>
        <w:t>Notice</w:t>
      </w:r>
    </w:p>
    <w:p w:rsidR="00BB2F15" w:rsidRPr="00EA4A07" w:rsidRDefault="00BB2F15" w:rsidP="00BB2F15">
      <w:pPr>
        <w:autoSpaceDE w:val="0"/>
        <w:autoSpaceDN w:val="0"/>
        <w:adjustRightInd w:val="0"/>
        <w:spacing w:after="0" w:line="240" w:lineRule="auto"/>
        <w:rPr>
          <w:rFonts w:ascii="Arial" w:hAnsi="Arial" w:cs="Arial"/>
          <w:sz w:val="24"/>
          <w:szCs w:val="24"/>
        </w:rPr>
      </w:pPr>
      <w:r w:rsidRPr="00EA4A07">
        <w:rPr>
          <w:rFonts w:ascii="Arial" w:hAnsi="Arial" w:cs="Arial"/>
          <w:sz w:val="24"/>
          <w:szCs w:val="24"/>
        </w:rPr>
        <w:t>Whe</w:t>
      </w:r>
      <w:r w:rsidR="00D631C4">
        <w:rPr>
          <w:rFonts w:ascii="Arial" w:hAnsi="Arial" w:cs="Arial"/>
          <w:sz w:val="24"/>
          <w:szCs w:val="24"/>
        </w:rPr>
        <w:t>n</w:t>
      </w:r>
      <w:r w:rsidRPr="00EA4A07">
        <w:rPr>
          <w:rFonts w:ascii="Arial" w:hAnsi="Arial" w:cs="Arial"/>
          <w:sz w:val="24"/>
          <w:szCs w:val="24"/>
        </w:rPr>
        <w:t xml:space="preserve"> it has been determined that a </w:t>
      </w:r>
      <w:r w:rsidR="001D1430">
        <w:rPr>
          <w:rFonts w:ascii="Arial" w:hAnsi="Arial" w:cs="Arial"/>
          <w:sz w:val="24"/>
          <w:szCs w:val="24"/>
        </w:rPr>
        <w:t xml:space="preserve">civil </w:t>
      </w:r>
      <w:r w:rsidR="00457D60">
        <w:rPr>
          <w:rFonts w:ascii="Arial" w:hAnsi="Arial" w:cs="Arial"/>
          <w:sz w:val="24"/>
          <w:szCs w:val="24"/>
        </w:rPr>
        <w:t>penalty notice</w:t>
      </w:r>
      <w:r w:rsidRPr="00EA4A07">
        <w:rPr>
          <w:rFonts w:ascii="Arial" w:hAnsi="Arial" w:cs="Arial"/>
          <w:sz w:val="24"/>
          <w:szCs w:val="24"/>
        </w:rPr>
        <w:t xml:space="preserve"> </w:t>
      </w:r>
      <w:r w:rsidR="00CB1A72">
        <w:rPr>
          <w:rFonts w:ascii="Arial" w:hAnsi="Arial" w:cs="Arial"/>
          <w:sz w:val="24"/>
          <w:szCs w:val="24"/>
        </w:rPr>
        <w:t xml:space="preserve">is </w:t>
      </w:r>
      <w:r w:rsidRPr="00EA4A07">
        <w:rPr>
          <w:rFonts w:ascii="Arial" w:hAnsi="Arial" w:cs="Arial"/>
          <w:sz w:val="24"/>
          <w:szCs w:val="24"/>
        </w:rPr>
        <w:t xml:space="preserve">appropriate, the Council will follow the following </w:t>
      </w:r>
      <w:r w:rsidR="00D751B2">
        <w:rPr>
          <w:rFonts w:ascii="Arial" w:hAnsi="Arial" w:cs="Arial"/>
          <w:sz w:val="24"/>
          <w:szCs w:val="24"/>
        </w:rPr>
        <w:t>procedure</w:t>
      </w:r>
      <w:r w:rsidRPr="00EA4A07">
        <w:rPr>
          <w:rFonts w:ascii="Arial" w:hAnsi="Arial" w:cs="Arial"/>
          <w:sz w:val="24"/>
          <w:szCs w:val="24"/>
        </w:rPr>
        <w:t>.</w:t>
      </w:r>
    </w:p>
    <w:p w:rsidR="00DB1E89" w:rsidRPr="00EA4A07" w:rsidRDefault="00DB1E89" w:rsidP="00BB2F15">
      <w:pPr>
        <w:autoSpaceDE w:val="0"/>
        <w:autoSpaceDN w:val="0"/>
        <w:adjustRightInd w:val="0"/>
        <w:spacing w:after="0" w:line="240" w:lineRule="auto"/>
        <w:rPr>
          <w:rFonts w:ascii="Arial" w:hAnsi="Arial" w:cs="Arial"/>
          <w:sz w:val="24"/>
          <w:szCs w:val="24"/>
        </w:rPr>
      </w:pPr>
    </w:p>
    <w:p w:rsidR="00502290" w:rsidRDefault="00DB1E89" w:rsidP="00BB2F15">
      <w:pPr>
        <w:autoSpaceDE w:val="0"/>
        <w:autoSpaceDN w:val="0"/>
        <w:adjustRightInd w:val="0"/>
        <w:spacing w:after="0" w:line="240" w:lineRule="auto"/>
        <w:rPr>
          <w:rFonts w:ascii="Arial" w:hAnsi="Arial" w:cs="Arial"/>
          <w:sz w:val="24"/>
          <w:szCs w:val="24"/>
        </w:rPr>
      </w:pPr>
      <w:r w:rsidRPr="00EA4A07">
        <w:rPr>
          <w:rFonts w:ascii="Arial" w:hAnsi="Arial" w:cs="Arial"/>
          <w:sz w:val="24"/>
          <w:szCs w:val="24"/>
        </w:rPr>
        <w:t>A</w:t>
      </w:r>
      <w:r w:rsidR="00BB2F15" w:rsidRPr="00EA4A07">
        <w:rPr>
          <w:rFonts w:ascii="Arial" w:hAnsi="Arial" w:cs="Arial"/>
          <w:sz w:val="24"/>
          <w:szCs w:val="24"/>
        </w:rPr>
        <w:t xml:space="preserve"> “Notice of Intent” shall be served on the person </w:t>
      </w:r>
      <w:r w:rsidR="00457D60">
        <w:rPr>
          <w:rFonts w:ascii="Arial" w:hAnsi="Arial" w:cs="Arial"/>
          <w:sz w:val="24"/>
          <w:szCs w:val="24"/>
        </w:rPr>
        <w:t>whose</w:t>
      </w:r>
      <w:r w:rsidR="00D751B2">
        <w:rPr>
          <w:rFonts w:ascii="Arial" w:hAnsi="Arial" w:cs="Arial"/>
          <w:sz w:val="24"/>
          <w:szCs w:val="24"/>
        </w:rPr>
        <w:t xml:space="preserve"> conduct amounts to a relevant housing offence</w:t>
      </w:r>
      <w:r w:rsidR="007E6673">
        <w:rPr>
          <w:rFonts w:ascii="Arial" w:hAnsi="Arial" w:cs="Arial"/>
          <w:sz w:val="24"/>
          <w:szCs w:val="24"/>
        </w:rPr>
        <w:t>.</w:t>
      </w:r>
      <w:r w:rsidR="00BB2F15" w:rsidRPr="00EA4A07">
        <w:rPr>
          <w:rFonts w:ascii="Arial" w:hAnsi="Arial" w:cs="Arial"/>
          <w:sz w:val="24"/>
          <w:szCs w:val="24"/>
        </w:rPr>
        <w:t xml:space="preserve"> </w:t>
      </w:r>
      <w:r w:rsidR="00502290">
        <w:rPr>
          <w:rFonts w:ascii="Arial" w:hAnsi="Arial" w:cs="Arial"/>
          <w:sz w:val="24"/>
          <w:szCs w:val="24"/>
        </w:rPr>
        <w:t>The Notice of Intent must be given within 6 months from the date whe</w:t>
      </w:r>
      <w:r w:rsidR="00D751B2">
        <w:rPr>
          <w:rFonts w:ascii="Arial" w:hAnsi="Arial" w:cs="Arial"/>
          <w:sz w:val="24"/>
          <w:szCs w:val="24"/>
        </w:rPr>
        <w:t>n</w:t>
      </w:r>
      <w:r w:rsidR="00502290">
        <w:rPr>
          <w:rFonts w:ascii="Arial" w:hAnsi="Arial" w:cs="Arial"/>
          <w:sz w:val="24"/>
          <w:szCs w:val="24"/>
        </w:rPr>
        <w:t xml:space="preserve"> the Council has sufficient evidence of the offence to which </w:t>
      </w:r>
      <w:r w:rsidR="00D631C4">
        <w:rPr>
          <w:rFonts w:ascii="Arial" w:hAnsi="Arial" w:cs="Arial"/>
          <w:sz w:val="24"/>
          <w:szCs w:val="24"/>
        </w:rPr>
        <w:t>the financial penalty relates</w:t>
      </w:r>
      <w:r w:rsidR="007E6673">
        <w:rPr>
          <w:rFonts w:ascii="Arial" w:hAnsi="Arial" w:cs="Arial"/>
          <w:sz w:val="24"/>
          <w:szCs w:val="24"/>
        </w:rPr>
        <w:t>; or alternatively, if the conduct is continuing, within 6 months from the last date the conduct occurred.</w:t>
      </w:r>
    </w:p>
    <w:p w:rsidR="00D751B2" w:rsidRDefault="00D751B2" w:rsidP="00BB2F15">
      <w:pPr>
        <w:autoSpaceDE w:val="0"/>
        <w:autoSpaceDN w:val="0"/>
        <w:adjustRightInd w:val="0"/>
        <w:spacing w:after="0" w:line="240" w:lineRule="auto"/>
        <w:rPr>
          <w:rFonts w:ascii="Arial" w:hAnsi="Arial" w:cs="Arial"/>
          <w:sz w:val="24"/>
          <w:szCs w:val="24"/>
        </w:rPr>
      </w:pPr>
    </w:p>
    <w:p w:rsidR="00BB2F15" w:rsidRPr="00EA4A07" w:rsidRDefault="00BB2F15" w:rsidP="00BB2F15">
      <w:pPr>
        <w:autoSpaceDE w:val="0"/>
        <w:autoSpaceDN w:val="0"/>
        <w:adjustRightInd w:val="0"/>
        <w:spacing w:after="0" w:line="240" w:lineRule="auto"/>
        <w:rPr>
          <w:rFonts w:ascii="Arial" w:hAnsi="Arial" w:cs="Arial"/>
          <w:sz w:val="24"/>
          <w:szCs w:val="24"/>
        </w:rPr>
      </w:pPr>
      <w:r w:rsidRPr="00EA4A07">
        <w:rPr>
          <w:rFonts w:ascii="Arial" w:hAnsi="Arial" w:cs="Arial"/>
          <w:sz w:val="24"/>
          <w:szCs w:val="24"/>
        </w:rPr>
        <w:t>The</w:t>
      </w:r>
      <w:r w:rsidR="009B742D">
        <w:rPr>
          <w:rFonts w:ascii="Arial" w:hAnsi="Arial" w:cs="Arial"/>
          <w:sz w:val="24"/>
          <w:szCs w:val="24"/>
        </w:rPr>
        <w:t xml:space="preserve"> </w:t>
      </w:r>
      <w:r w:rsidRPr="00EA4A07">
        <w:rPr>
          <w:rFonts w:ascii="Arial" w:hAnsi="Arial" w:cs="Arial"/>
          <w:sz w:val="24"/>
          <w:szCs w:val="24"/>
        </w:rPr>
        <w:t>Notice shall specify:</w:t>
      </w:r>
    </w:p>
    <w:p w:rsidR="00BB2F15" w:rsidRPr="00EA4A07" w:rsidRDefault="00BB2F15" w:rsidP="00DB1E89">
      <w:pPr>
        <w:autoSpaceDE w:val="0"/>
        <w:autoSpaceDN w:val="0"/>
        <w:adjustRightInd w:val="0"/>
        <w:spacing w:after="0" w:line="240" w:lineRule="auto"/>
        <w:ind w:left="720" w:firstLine="720"/>
        <w:rPr>
          <w:rFonts w:ascii="Arial" w:hAnsi="Arial" w:cs="Arial"/>
          <w:sz w:val="24"/>
          <w:szCs w:val="24"/>
        </w:rPr>
      </w:pPr>
      <w:r w:rsidRPr="00EA4A07">
        <w:rPr>
          <w:rFonts w:ascii="Arial" w:hAnsi="Arial" w:cs="Arial"/>
          <w:sz w:val="24"/>
          <w:szCs w:val="24"/>
        </w:rPr>
        <w:t>a. The amount of any proposed financial penalty</w:t>
      </w:r>
    </w:p>
    <w:p w:rsidR="00BB2F15" w:rsidRPr="00EA4A07" w:rsidRDefault="00BB2F15" w:rsidP="00DB1E89">
      <w:pPr>
        <w:autoSpaceDE w:val="0"/>
        <w:autoSpaceDN w:val="0"/>
        <w:adjustRightInd w:val="0"/>
        <w:spacing w:after="0" w:line="240" w:lineRule="auto"/>
        <w:ind w:left="1440"/>
        <w:rPr>
          <w:rFonts w:ascii="Arial" w:hAnsi="Arial" w:cs="Arial"/>
          <w:sz w:val="24"/>
          <w:szCs w:val="24"/>
        </w:rPr>
      </w:pPr>
      <w:r w:rsidRPr="00EA4A07">
        <w:rPr>
          <w:rFonts w:ascii="Arial" w:hAnsi="Arial" w:cs="Arial"/>
          <w:sz w:val="24"/>
          <w:szCs w:val="24"/>
        </w:rPr>
        <w:t>b. The reasons for proposing the financial penalty</w:t>
      </w:r>
      <w:r w:rsidR="00F525FF">
        <w:rPr>
          <w:rFonts w:ascii="Arial" w:hAnsi="Arial" w:cs="Arial"/>
          <w:sz w:val="24"/>
          <w:szCs w:val="24"/>
        </w:rPr>
        <w:t>,</w:t>
      </w:r>
      <w:r w:rsidR="00DB1E89" w:rsidRPr="00EA4A07">
        <w:rPr>
          <w:rFonts w:ascii="Arial" w:hAnsi="Arial" w:cs="Arial"/>
          <w:sz w:val="24"/>
          <w:szCs w:val="24"/>
        </w:rPr>
        <w:t xml:space="preserve"> and</w:t>
      </w:r>
    </w:p>
    <w:p w:rsidR="00BB2F15" w:rsidRPr="00EA4A07" w:rsidRDefault="00BB2F15" w:rsidP="00DB1E89">
      <w:pPr>
        <w:autoSpaceDE w:val="0"/>
        <w:autoSpaceDN w:val="0"/>
        <w:adjustRightInd w:val="0"/>
        <w:spacing w:after="0" w:line="240" w:lineRule="auto"/>
        <w:ind w:left="720" w:firstLine="720"/>
        <w:rPr>
          <w:rFonts w:ascii="Arial" w:hAnsi="Arial" w:cs="Arial"/>
          <w:sz w:val="24"/>
          <w:szCs w:val="24"/>
        </w:rPr>
      </w:pPr>
      <w:r w:rsidRPr="00EA4A07">
        <w:rPr>
          <w:rFonts w:ascii="Arial" w:hAnsi="Arial" w:cs="Arial"/>
          <w:sz w:val="24"/>
          <w:szCs w:val="24"/>
        </w:rPr>
        <w:t>c. Information about the right to make representation</w:t>
      </w:r>
      <w:r w:rsidR="00502290">
        <w:rPr>
          <w:rFonts w:ascii="Arial" w:hAnsi="Arial" w:cs="Arial"/>
          <w:sz w:val="24"/>
          <w:szCs w:val="24"/>
        </w:rPr>
        <w:t>s</w:t>
      </w:r>
      <w:r w:rsidRPr="00EA4A07">
        <w:rPr>
          <w:rFonts w:ascii="Arial" w:hAnsi="Arial" w:cs="Arial"/>
          <w:sz w:val="24"/>
          <w:szCs w:val="24"/>
        </w:rPr>
        <w:t xml:space="preserve"> to the Council.</w:t>
      </w:r>
    </w:p>
    <w:p w:rsidR="00DB1E89" w:rsidRPr="00EA4A07" w:rsidRDefault="00DB1E89" w:rsidP="00DB1E89">
      <w:pPr>
        <w:autoSpaceDE w:val="0"/>
        <w:autoSpaceDN w:val="0"/>
        <w:adjustRightInd w:val="0"/>
        <w:spacing w:after="0" w:line="240" w:lineRule="auto"/>
        <w:ind w:left="720" w:firstLine="720"/>
        <w:rPr>
          <w:rFonts w:ascii="Arial" w:hAnsi="Arial" w:cs="Arial"/>
          <w:sz w:val="24"/>
          <w:szCs w:val="24"/>
        </w:rPr>
      </w:pPr>
    </w:p>
    <w:p w:rsidR="00BB2F15" w:rsidRPr="00EA4A07" w:rsidRDefault="002E76EF" w:rsidP="00DB1E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person to whom </w:t>
      </w:r>
      <w:r w:rsidR="00BB2F15" w:rsidRPr="00EA4A07">
        <w:rPr>
          <w:rFonts w:ascii="Arial" w:hAnsi="Arial" w:cs="Arial"/>
          <w:sz w:val="24"/>
          <w:szCs w:val="24"/>
        </w:rPr>
        <w:t xml:space="preserve">the notice relates will be given 28 days </w:t>
      </w:r>
      <w:r w:rsidR="00502290">
        <w:rPr>
          <w:rFonts w:ascii="Arial" w:hAnsi="Arial" w:cs="Arial"/>
          <w:sz w:val="24"/>
          <w:szCs w:val="24"/>
        </w:rPr>
        <w:t xml:space="preserve">(beginning with the day on which the notice was given) </w:t>
      </w:r>
      <w:r w:rsidR="00BB2F15" w:rsidRPr="00EA4A07">
        <w:rPr>
          <w:rFonts w:ascii="Arial" w:hAnsi="Arial" w:cs="Arial"/>
          <w:sz w:val="24"/>
          <w:szCs w:val="24"/>
        </w:rPr>
        <w:t>to make written representation</w:t>
      </w:r>
      <w:r w:rsidR="00502290">
        <w:rPr>
          <w:rFonts w:ascii="Arial" w:hAnsi="Arial" w:cs="Arial"/>
          <w:sz w:val="24"/>
          <w:szCs w:val="24"/>
        </w:rPr>
        <w:t>s</w:t>
      </w:r>
      <w:r w:rsidR="00BB2F15" w:rsidRPr="00EA4A07">
        <w:rPr>
          <w:rFonts w:ascii="Arial" w:hAnsi="Arial" w:cs="Arial"/>
          <w:sz w:val="24"/>
          <w:szCs w:val="24"/>
        </w:rPr>
        <w:t xml:space="preserve"> to</w:t>
      </w:r>
      <w:r w:rsidR="009B742D">
        <w:rPr>
          <w:rFonts w:ascii="Arial" w:hAnsi="Arial" w:cs="Arial"/>
          <w:sz w:val="24"/>
          <w:szCs w:val="24"/>
        </w:rPr>
        <w:t xml:space="preserve"> </w:t>
      </w:r>
      <w:r w:rsidR="00BB2F15" w:rsidRPr="00EA4A07">
        <w:rPr>
          <w:rFonts w:ascii="Arial" w:hAnsi="Arial" w:cs="Arial"/>
          <w:sz w:val="24"/>
          <w:szCs w:val="24"/>
        </w:rPr>
        <w:t xml:space="preserve">the Council about the proposal to impose a financial penalty. </w:t>
      </w:r>
    </w:p>
    <w:p w:rsidR="00DB1E89" w:rsidRPr="00EA4A07" w:rsidRDefault="00DB1E89" w:rsidP="00BB2F15">
      <w:pPr>
        <w:autoSpaceDE w:val="0"/>
        <w:autoSpaceDN w:val="0"/>
        <w:adjustRightInd w:val="0"/>
        <w:spacing w:after="0" w:line="240" w:lineRule="auto"/>
        <w:rPr>
          <w:rFonts w:ascii="Arial" w:hAnsi="Arial" w:cs="Arial"/>
          <w:sz w:val="24"/>
          <w:szCs w:val="24"/>
        </w:rPr>
      </w:pPr>
    </w:p>
    <w:p w:rsidR="00BB2F15" w:rsidRDefault="00BB2F15" w:rsidP="00BB2F15">
      <w:pPr>
        <w:autoSpaceDE w:val="0"/>
        <w:autoSpaceDN w:val="0"/>
        <w:adjustRightInd w:val="0"/>
        <w:spacing w:after="0" w:line="240" w:lineRule="auto"/>
        <w:rPr>
          <w:rFonts w:ascii="Arial" w:hAnsi="Arial" w:cs="Arial"/>
          <w:sz w:val="24"/>
          <w:szCs w:val="24"/>
        </w:rPr>
      </w:pPr>
      <w:r w:rsidRPr="00EA4A07">
        <w:rPr>
          <w:rFonts w:ascii="Arial" w:hAnsi="Arial" w:cs="Arial"/>
          <w:sz w:val="24"/>
          <w:szCs w:val="24"/>
        </w:rPr>
        <w:t xml:space="preserve">Following the 28 day period </w:t>
      </w:r>
      <w:r w:rsidR="002E76EF">
        <w:rPr>
          <w:rFonts w:ascii="Arial" w:hAnsi="Arial" w:cs="Arial"/>
          <w:sz w:val="24"/>
          <w:szCs w:val="24"/>
        </w:rPr>
        <w:t xml:space="preserve">for </w:t>
      </w:r>
      <w:r w:rsidR="00502290">
        <w:rPr>
          <w:rFonts w:ascii="Arial" w:hAnsi="Arial" w:cs="Arial"/>
          <w:sz w:val="24"/>
          <w:szCs w:val="24"/>
        </w:rPr>
        <w:t>representations</w:t>
      </w:r>
      <w:r w:rsidR="00CF2E8B">
        <w:rPr>
          <w:rFonts w:ascii="Arial" w:hAnsi="Arial" w:cs="Arial"/>
          <w:sz w:val="24"/>
          <w:szCs w:val="24"/>
        </w:rPr>
        <w:t>,</w:t>
      </w:r>
      <w:r w:rsidR="00502290">
        <w:rPr>
          <w:rFonts w:ascii="Arial" w:hAnsi="Arial" w:cs="Arial"/>
          <w:sz w:val="24"/>
          <w:szCs w:val="24"/>
        </w:rPr>
        <w:t xml:space="preserve"> </w:t>
      </w:r>
      <w:r w:rsidRPr="00EA4A07">
        <w:rPr>
          <w:rFonts w:ascii="Arial" w:hAnsi="Arial" w:cs="Arial"/>
          <w:sz w:val="24"/>
          <w:szCs w:val="24"/>
        </w:rPr>
        <w:t>the Council will</w:t>
      </w:r>
      <w:r w:rsidR="00CF2E8B">
        <w:rPr>
          <w:rFonts w:ascii="Arial" w:hAnsi="Arial" w:cs="Arial"/>
          <w:sz w:val="24"/>
          <w:szCs w:val="24"/>
        </w:rPr>
        <w:t xml:space="preserve"> consider the representations and</w:t>
      </w:r>
      <w:r w:rsidRPr="00EA4A07">
        <w:rPr>
          <w:rFonts w:ascii="Arial" w:hAnsi="Arial" w:cs="Arial"/>
          <w:sz w:val="24"/>
          <w:szCs w:val="24"/>
        </w:rPr>
        <w:t xml:space="preserve"> decide:</w:t>
      </w:r>
    </w:p>
    <w:p w:rsidR="00F31E66" w:rsidRPr="00EA4A07" w:rsidRDefault="00F31E66" w:rsidP="00BB2F15">
      <w:pPr>
        <w:autoSpaceDE w:val="0"/>
        <w:autoSpaceDN w:val="0"/>
        <w:adjustRightInd w:val="0"/>
        <w:spacing w:after="0" w:line="240" w:lineRule="auto"/>
        <w:rPr>
          <w:rFonts w:ascii="Arial" w:hAnsi="Arial" w:cs="Arial"/>
          <w:sz w:val="24"/>
          <w:szCs w:val="24"/>
        </w:rPr>
      </w:pPr>
    </w:p>
    <w:p w:rsidR="00BB2F15" w:rsidRPr="00EA4A07" w:rsidRDefault="00BB2F15" w:rsidP="00DB1E89">
      <w:pPr>
        <w:autoSpaceDE w:val="0"/>
        <w:autoSpaceDN w:val="0"/>
        <w:adjustRightInd w:val="0"/>
        <w:spacing w:after="0" w:line="240" w:lineRule="auto"/>
        <w:ind w:left="720" w:firstLine="720"/>
        <w:rPr>
          <w:rFonts w:ascii="Arial" w:hAnsi="Arial" w:cs="Arial"/>
          <w:sz w:val="24"/>
          <w:szCs w:val="24"/>
        </w:rPr>
      </w:pPr>
      <w:r w:rsidRPr="00EA4A07">
        <w:rPr>
          <w:rFonts w:ascii="Arial" w:hAnsi="Arial" w:cs="Arial"/>
          <w:sz w:val="24"/>
          <w:szCs w:val="24"/>
        </w:rPr>
        <w:t>a. Whether to impose a financial penalty on the person, and</w:t>
      </w:r>
    </w:p>
    <w:p w:rsidR="00BB2F15" w:rsidRDefault="00BB2F15" w:rsidP="00DB1E89">
      <w:pPr>
        <w:autoSpaceDE w:val="0"/>
        <w:autoSpaceDN w:val="0"/>
        <w:adjustRightInd w:val="0"/>
        <w:spacing w:after="0" w:line="240" w:lineRule="auto"/>
        <w:ind w:left="720" w:firstLine="720"/>
        <w:rPr>
          <w:rFonts w:ascii="Arial" w:hAnsi="Arial" w:cs="Arial"/>
          <w:sz w:val="24"/>
          <w:szCs w:val="24"/>
        </w:rPr>
      </w:pPr>
      <w:r w:rsidRPr="00EA4A07">
        <w:rPr>
          <w:rFonts w:ascii="Arial" w:hAnsi="Arial" w:cs="Arial"/>
          <w:sz w:val="24"/>
          <w:szCs w:val="24"/>
        </w:rPr>
        <w:t xml:space="preserve">b. The </w:t>
      </w:r>
      <w:r w:rsidR="00502290">
        <w:rPr>
          <w:rFonts w:ascii="Arial" w:hAnsi="Arial" w:cs="Arial"/>
          <w:sz w:val="24"/>
          <w:szCs w:val="24"/>
        </w:rPr>
        <w:t xml:space="preserve">amount </w:t>
      </w:r>
      <w:r w:rsidRPr="00EA4A07">
        <w:rPr>
          <w:rFonts w:ascii="Arial" w:hAnsi="Arial" w:cs="Arial"/>
          <w:sz w:val="24"/>
          <w:szCs w:val="24"/>
        </w:rPr>
        <w:t xml:space="preserve">of </w:t>
      </w:r>
      <w:r w:rsidR="00AF601E">
        <w:rPr>
          <w:rFonts w:ascii="Arial" w:hAnsi="Arial" w:cs="Arial"/>
          <w:sz w:val="24"/>
          <w:szCs w:val="24"/>
        </w:rPr>
        <w:t>any such</w:t>
      </w:r>
      <w:r w:rsidR="00502290">
        <w:rPr>
          <w:rFonts w:ascii="Arial" w:hAnsi="Arial" w:cs="Arial"/>
          <w:sz w:val="24"/>
          <w:szCs w:val="24"/>
        </w:rPr>
        <w:t xml:space="preserve"> </w:t>
      </w:r>
      <w:r w:rsidRPr="00EA4A07">
        <w:rPr>
          <w:rFonts w:ascii="Arial" w:hAnsi="Arial" w:cs="Arial"/>
          <w:sz w:val="24"/>
          <w:szCs w:val="24"/>
        </w:rPr>
        <w:t>penalty.</w:t>
      </w:r>
    </w:p>
    <w:p w:rsidR="00AF601E" w:rsidRPr="00EA4A07" w:rsidRDefault="00AF601E" w:rsidP="00DB1E89">
      <w:pPr>
        <w:autoSpaceDE w:val="0"/>
        <w:autoSpaceDN w:val="0"/>
        <w:adjustRightInd w:val="0"/>
        <w:spacing w:after="0" w:line="240" w:lineRule="auto"/>
        <w:ind w:left="720" w:firstLine="720"/>
        <w:rPr>
          <w:rFonts w:ascii="Arial" w:hAnsi="Arial" w:cs="Arial"/>
          <w:sz w:val="24"/>
          <w:szCs w:val="24"/>
        </w:rPr>
      </w:pPr>
    </w:p>
    <w:p w:rsidR="00BB2F15" w:rsidRPr="00EA4A07" w:rsidRDefault="00BB2F15" w:rsidP="00BB2F15">
      <w:pPr>
        <w:autoSpaceDE w:val="0"/>
        <w:autoSpaceDN w:val="0"/>
        <w:adjustRightInd w:val="0"/>
        <w:spacing w:after="0" w:line="240" w:lineRule="auto"/>
        <w:rPr>
          <w:rFonts w:ascii="Arial" w:hAnsi="Arial" w:cs="Arial"/>
          <w:sz w:val="24"/>
          <w:szCs w:val="24"/>
        </w:rPr>
      </w:pPr>
      <w:r w:rsidRPr="00EA4A07">
        <w:rPr>
          <w:rFonts w:ascii="Arial" w:hAnsi="Arial" w:cs="Arial"/>
          <w:sz w:val="24"/>
          <w:szCs w:val="24"/>
        </w:rPr>
        <w:t xml:space="preserve">If the Council decides to impose a financial penalty, a final notice </w:t>
      </w:r>
      <w:r w:rsidR="003D5B47">
        <w:rPr>
          <w:rFonts w:ascii="Arial" w:hAnsi="Arial" w:cs="Arial"/>
          <w:sz w:val="24"/>
          <w:szCs w:val="24"/>
        </w:rPr>
        <w:t xml:space="preserve">will </w:t>
      </w:r>
      <w:r w:rsidRPr="00EA4A07">
        <w:rPr>
          <w:rFonts w:ascii="Arial" w:hAnsi="Arial" w:cs="Arial"/>
          <w:sz w:val="24"/>
          <w:szCs w:val="24"/>
        </w:rPr>
        <w:t>be issued</w:t>
      </w:r>
      <w:r w:rsidR="00C52978">
        <w:rPr>
          <w:rFonts w:ascii="Arial" w:hAnsi="Arial" w:cs="Arial"/>
          <w:sz w:val="24"/>
          <w:szCs w:val="24"/>
        </w:rPr>
        <w:t xml:space="preserve"> requiring the penalty </w:t>
      </w:r>
      <w:r w:rsidR="00457D60">
        <w:rPr>
          <w:rFonts w:ascii="Arial" w:hAnsi="Arial" w:cs="Arial"/>
          <w:sz w:val="24"/>
          <w:szCs w:val="24"/>
        </w:rPr>
        <w:t>be</w:t>
      </w:r>
      <w:r w:rsidR="00C52978">
        <w:rPr>
          <w:rFonts w:ascii="Arial" w:hAnsi="Arial" w:cs="Arial"/>
          <w:sz w:val="24"/>
          <w:szCs w:val="24"/>
        </w:rPr>
        <w:t xml:space="preserve"> paid within 28 </w:t>
      </w:r>
      <w:r w:rsidR="00457D60">
        <w:rPr>
          <w:rFonts w:ascii="Arial" w:hAnsi="Arial" w:cs="Arial"/>
          <w:sz w:val="24"/>
          <w:szCs w:val="24"/>
        </w:rPr>
        <w:t>days. Beginning</w:t>
      </w:r>
      <w:r w:rsidR="00C52978">
        <w:rPr>
          <w:rFonts w:ascii="Arial" w:hAnsi="Arial" w:cs="Arial"/>
          <w:sz w:val="24"/>
          <w:szCs w:val="24"/>
        </w:rPr>
        <w:t xml:space="preserve"> with the day after that on which the notice was given.</w:t>
      </w:r>
      <w:r w:rsidRPr="00EA4A07">
        <w:rPr>
          <w:rFonts w:ascii="Arial" w:hAnsi="Arial" w:cs="Arial"/>
          <w:sz w:val="24"/>
          <w:szCs w:val="24"/>
        </w:rPr>
        <w:t xml:space="preserve"> The final notice will specify:</w:t>
      </w:r>
    </w:p>
    <w:p w:rsidR="00BB2F15" w:rsidRPr="00EA4A07" w:rsidRDefault="00BB2F15" w:rsidP="00DB1E89">
      <w:pPr>
        <w:autoSpaceDE w:val="0"/>
        <w:autoSpaceDN w:val="0"/>
        <w:adjustRightInd w:val="0"/>
        <w:spacing w:after="0" w:line="240" w:lineRule="auto"/>
        <w:ind w:left="1440"/>
        <w:rPr>
          <w:rFonts w:ascii="Arial" w:hAnsi="Arial" w:cs="Arial"/>
          <w:sz w:val="24"/>
          <w:szCs w:val="24"/>
        </w:rPr>
      </w:pPr>
      <w:r w:rsidRPr="00EA4A07">
        <w:rPr>
          <w:rFonts w:ascii="Arial" w:hAnsi="Arial" w:cs="Arial"/>
          <w:sz w:val="24"/>
          <w:szCs w:val="24"/>
        </w:rPr>
        <w:lastRenderedPageBreak/>
        <w:t xml:space="preserve">a. </w:t>
      </w:r>
      <w:r w:rsidR="003D5B47">
        <w:rPr>
          <w:rFonts w:ascii="Arial" w:hAnsi="Arial" w:cs="Arial"/>
          <w:sz w:val="24"/>
          <w:szCs w:val="24"/>
        </w:rPr>
        <w:t>T</w:t>
      </w:r>
      <w:r w:rsidRPr="00EA4A07">
        <w:rPr>
          <w:rFonts w:ascii="Arial" w:hAnsi="Arial" w:cs="Arial"/>
          <w:sz w:val="24"/>
          <w:szCs w:val="24"/>
        </w:rPr>
        <w:t>he amount of the financial penalty</w:t>
      </w:r>
      <w:r w:rsidR="00F525FF">
        <w:rPr>
          <w:rFonts w:ascii="Arial" w:hAnsi="Arial" w:cs="Arial"/>
          <w:sz w:val="24"/>
          <w:szCs w:val="24"/>
        </w:rPr>
        <w:t>,</w:t>
      </w:r>
    </w:p>
    <w:p w:rsidR="00BB2F15" w:rsidRPr="00EA4A07" w:rsidRDefault="00BB2F15" w:rsidP="00DB1E89">
      <w:pPr>
        <w:autoSpaceDE w:val="0"/>
        <w:autoSpaceDN w:val="0"/>
        <w:adjustRightInd w:val="0"/>
        <w:spacing w:after="0" w:line="240" w:lineRule="auto"/>
        <w:ind w:left="720" w:firstLine="720"/>
        <w:rPr>
          <w:rFonts w:ascii="Arial" w:hAnsi="Arial" w:cs="Arial"/>
          <w:sz w:val="24"/>
          <w:szCs w:val="24"/>
        </w:rPr>
      </w:pPr>
      <w:r w:rsidRPr="00EA4A07">
        <w:rPr>
          <w:rFonts w:ascii="Arial" w:hAnsi="Arial" w:cs="Arial"/>
          <w:sz w:val="24"/>
          <w:szCs w:val="24"/>
        </w:rPr>
        <w:t xml:space="preserve">b. </w:t>
      </w:r>
      <w:r w:rsidR="003D5B47">
        <w:rPr>
          <w:rFonts w:ascii="Arial" w:hAnsi="Arial" w:cs="Arial"/>
          <w:sz w:val="24"/>
          <w:szCs w:val="24"/>
        </w:rPr>
        <w:t>T</w:t>
      </w:r>
      <w:r w:rsidRPr="00EA4A07">
        <w:rPr>
          <w:rFonts w:ascii="Arial" w:hAnsi="Arial" w:cs="Arial"/>
          <w:sz w:val="24"/>
          <w:szCs w:val="24"/>
        </w:rPr>
        <w:t>he reasons for imposing the penalty</w:t>
      </w:r>
      <w:r w:rsidR="00F525FF">
        <w:rPr>
          <w:rFonts w:ascii="Arial" w:hAnsi="Arial" w:cs="Arial"/>
          <w:sz w:val="24"/>
          <w:szCs w:val="24"/>
        </w:rPr>
        <w:t>,</w:t>
      </w:r>
    </w:p>
    <w:p w:rsidR="00BB2F15" w:rsidRPr="00EA4A07" w:rsidRDefault="00BB2F15" w:rsidP="00DB1E89">
      <w:pPr>
        <w:autoSpaceDE w:val="0"/>
        <w:autoSpaceDN w:val="0"/>
        <w:adjustRightInd w:val="0"/>
        <w:spacing w:after="0" w:line="240" w:lineRule="auto"/>
        <w:ind w:left="720" w:firstLine="720"/>
        <w:rPr>
          <w:rFonts w:ascii="Arial" w:hAnsi="Arial" w:cs="Arial"/>
          <w:sz w:val="24"/>
          <w:szCs w:val="24"/>
        </w:rPr>
      </w:pPr>
      <w:r w:rsidRPr="00EA4A07">
        <w:rPr>
          <w:rFonts w:ascii="Arial" w:hAnsi="Arial" w:cs="Arial"/>
          <w:sz w:val="24"/>
          <w:szCs w:val="24"/>
        </w:rPr>
        <w:t>c.</w:t>
      </w:r>
      <w:r w:rsidR="003B653C">
        <w:rPr>
          <w:rFonts w:ascii="Arial" w:hAnsi="Arial" w:cs="Arial"/>
          <w:sz w:val="24"/>
          <w:szCs w:val="24"/>
        </w:rPr>
        <w:t xml:space="preserve"> </w:t>
      </w:r>
      <w:r w:rsidR="003D5B47">
        <w:rPr>
          <w:rFonts w:ascii="Arial" w:hAnsi="Arial" w:cs="Arial"/>
          <w:sz w:val="24"/>
          <w:szCs w:val="24"/>
        </w:rPr>
        <w:t>I</w:t>
      </w:r>
      <w:r w:rsidRPr="00EA4A07">
        <w:rPr>
          <w:rFonts w:ascii="Arial" w:hAnsi="Arial" w:cs="Arial"/>
          <w:sz w:val="24"/>
          <w:szCs w:val="24"/>
        </w:rPr>
        <w:t>nformation about how to pay the penalty</w:t>
      </w:r>
      <w:r w:rsidR="00F525FF">
        <w:rPr>
          <w:rFonts w:ascii="Arial" w:hAnsi="Arial" w:cs="Arial"/>
          <w:sz w:val="24"/>
          <w:szCs w:val="24"/>
        </w:rPr>
        <w:t>,</w:t>
      </w:r>
    </w:p>
    <w:p w:rsidR="00BB2F15" w:rsidRPr="00EA4A07" w:rsidRDefault="00BB2F15" w:rsidP="00DB1E89">
      <w:pPr>
        <w:autoSpaceDE w:val="0"/>
        <w:autoSpaceDN w:val="0"/>
        <w:adjustRightInd w:val="0"/>
        <w:spacing w:after="0" w:line="240" w:lineRule="auto"/>
        <w:ind w:left="720" w:firstLine="720"/>
        <w:rPr>
          <w:rFonts w:ascii="Arial" w:hAnsi="Arial" w:cs="Arial"/>
          <w:sz w:val="24"/>
          <w:szCs w:val="24"/>
        </w:rPr>
      </w:pPr>
      <w:r w:rsidRPr="00EA4A07">
        <w:rPr>
          <w:rFonts w:ascii="Arial" w:hAnsi="Arial" w:cs="Arial"/>
          <w:sz w:val="24"/>
          <w:szCs w:val="24"/>
        </w:rPr>
        <w:t xml:space="preserve">d. </w:t>
      </w:r>
      <w:r w:rsidR="003D5B47">
        <w:rPr>
          <w:rFonts w:ascii="Arial" w:hAnsi="Arial" w:cs="Arial"/>
          <w:sz w:val="24"/>
          <w:szCs w:val="24"/>
        </w:rPr>
        <w:t>T</w:t>
      </w:r>
      <w:r w:rsidRPr="00EA4A07">
        <w:rPr>
          <w:rFonts w:ascii="Arial" w:hAnsi="Arial" w:cs="Arial"/>
          <w:sz w:val="24"/>
          <w:szCs w:val="24"/>
        </w:rPr>
        <w:t>he period for payment of the penalty</w:t>
      </w:r>
      <w:r w:rsidR="00A61BC3">
        <w:rPr>
          <w:rFonts w:ascii="Arial" w:hAnsi="Arial" w:cs="Arial"/>
          <w:sz w:val="24"/>
          <w:szCs w:val="24"/>
        </w:rPr>
        <w:t xml:space="preserve"> </w:t>
      </w:r>
      <w:r w:rsidR="00C52978">
        <w:rPr>
          <w:rFonts w:ascii="Arial" w:hAnsi="Arial" w:cs="Arial"/>
          <w:sz w:val="24"/>
          <w:szCs w:val="24"/>
        </w:rPr>
        <w:t>(28 days)</w:t>
      </w:r>
      <w:r w:rsidR="00F525FF">
        <w:rPr>
          <w:rFonts w:ascii="Arial" w:hAnsi="Arial" w:cs="Arial"/>
          <w:sz w:val="24"/>
          <w:szCs w:val="24"/>
        </w:rPr>
        <w:t>,</w:t>
      </w:r>
    </w:p>
    <w:p w:rsidR="00BB2F15" w:rsidRPr="00EA4A07" w:rsidRDefault="00BB2F15" w:rsidP="00DB1E89">
      <w:pPr>
        <w:autoSpaceDE w:val="0"/>
        <w:autoSpaceDN w:val="0"/>
        <w:adjustRightInd w:val="0"/>
        <w:spacing w:after="0" w:line="240" w:lineRule="auto"/>
        <w:ind w:left="720" w:firstLine="720"/>
        <w:rPr>
          <w:rFonts w:ascii="Arial" w:hAnsi="Arial" w:cs="Arial"/>
          <w:sz w:val="24"/>
          <w:szCs w:val="24"/>
        </w:rPr>
      </w:pPr>
      <w:r w:rsidRPr="00EA4A07">
        <w:rPr>
          <w:rFonts w:ascii="Arial" w:hAnsi="Arial" w:cs="Arial"/>
          <w:sz w:val="24"/>
          <w:szCs w:val="24"/>
        </w:rPr>
        <w:t xml:space="preserve">e. </w:t>
      </w:r>
      <w:r w:rsidR="003D5B47">
        <w:rPr>
          <w:rFonts w:ascii="Arial" w:hAnsi="Arial" w:cs="Arial"/>
          <w:sz w:val="24"/>
          <w:szCs w:val="24"/>
        </w:rPr>
        <w:t>I</w:t>
      </w:r>
      <w:r w:rsidRPr="00EA4A07">
        <w:rPr>
          <w:rFonts w:ascii="Arial" w:hAnsi="Arial" w:cs="Arial"/>
          <w:sz w:val="24"/>
          <w:szCs w:val="24"/>
        </w:rPr>
        <w:t xml:space="preserve">nformation about </w:t>
      </w:r>
      <w:r w:rsidR="003D5B47">
        <w:rPr>
          <w:rFonts w:ascii="Arial" w:hAnsi="Arial" w:cs="Arial"/>
          <w:sz w:val="24"/>
          <w:szCs w:val="24"/>
        </w:rPr>
        <w:t xml:space="preserve">the </w:t>
      </w:r>
      <w:r w:rsidRPr="00EA4A07">
        <w:rPr>
          <w:rFonts w:ascii="Arial" w:hAnsi="Arial" w:cs="Arial"/>
          <w:sz w:val="24"/>
          <w:szCs w:val="24"/>
        </w:rPr>
        <w:t xml:space="preserve">right of appeal to the First </w:t>
      </w:r>
      <w:r w:rsidR="003D5B47">
        <w:rPr>
          <w:rFonts w:ascii="Arial" w:hAnsi="Arial" w:cs="Arial"/>
          <w:sz w:val="24"/>
          <w:szCs w:val="24"/>
        </w:rPr>
        <w:t>T</w:t>
      </w:r>
      <w:r w:rsidRPr="00EA4A07">
        <w:rPr>
          <w:rFonts w:ascii="Arial" w:hAnsi="Arial" w:cs="Arial"/>
          <w:sz w:val="24"/>
          <w:szCs w:val="24"/>
        </w:rPr>
        <w:t>ier Tribunal</w:t>
      </w:r>
      <w:r w:rsidR="00F525FF">
        <w:rPr>
          <w:rFonts w:ascii="Arial" w:hAnsi="Arial" w:cs="Arial"/>
          <w:sz w:val="24"/>
          <w:szCs w:val="24"/>
        </w:rPr>
        <w:t>,</w:t>
      </w:r>
      <w:r w:rsidR="00C52978">
        <w:rPr>
          <w:rFonts w:ascii="Arial" w:hAnsi="Arial" w:cs="Arial"/>
          <w:sz w:val="24"/>
          <w:szCs w:val="24"/>
        </w:rPr>
        <w:t xml:space="preserve"> and</w:t>
      </w:r>
    </w:p>
    <w:p w:rsidR="00DB1E89" w:rsidRPr="00EA4A07" w:rsidRDefault="00BB2F15" w:rsidP="00DB1E89">
      <w:pPr>
        <w:ind w:left="720" w:firstLine="720"/>
        <w:rPr>
          <w:rFonts w:ascii="Arial" w:hAnsi="Arial" w:cs="Arial"/>
          <w:sz w:val="24"/>
          <w:szCs w:val="24"/>
        </w:rPr>
      </w:pPr>
      <w:r w:rsidRPr="00EA4A07">
        <w:rPr>
          <w:rFonts w:ascii="Arial" w:hAnsi="Arial" w:cs="Arial"/>
          <w:sz w:val="24"/>
          <w:szCs w:val="24"/>
        </w:rPr>
        <w:t xml:space="preserve">f. </w:t>
      </w:r>
      <w:r w:rsidR="003D5B47">
        <w:rPr>
          <w:rFonts w:ascii="Arial" w:hAnsi="Arial" w:cs="Arial"/>
          <w:sz w:val="24"/>
          <w:szCs w:val="24"/>
        </w:rPr>
        <w:t>T</w:t>
      </w:r>
      <w:r w:rsidRPr="00EA4A07">
        <w:rPr>
          <w:rFonts w:ascii="Arial" w:hAnsi="Arial" w:cs="Arial"/>
          <w:sz w:val="24"/>
          <w:szCs w:val="24"/>
        </w:rPr>
        <w:t>he consequences of failure to comply with the notice.</w:t>
      </w:r>
    </w:p>
    <w:p w:rsidR="00DB1E89" w:rsidRPr="00EA4A07" w:rsidRDefault="00376EE0" w:rsidP="00DB1E89">
      <w:pPr>
        <w:rPr>
          <w:rFonts w:ascii="Arial" w:hAnsi="Arial" w:cs="Arial"/>
          <w:sz w:val="24"/>
          <w:szCs w:val="24"/>
        </w:rPr>
      </w:pPr>
      <w:r>
        <w:rPr>
          <w:rFonts w:ascii="Arial" w:hAnsi="Arial" w:cs="Arial"/>
          <w:sz w:val="24"/>
          <w:szCs w:val="24"/>
        </w:rPr>
        <w:t>The Council may at anytime</w:t>
      </w:r>
      <w:r w:rsidR="00DE4556">
        <w:rPr>
          <w:rFonts w:ascii="Arial" w:hAnsi="Arial" w:cs="Arial"/>
          <w:sz w:val="24"/>
          <w:szCs w:val="24"/>
        </w:rPr>
        <w:t xml:space="preserve">, by giving </w:t>
      </w:r>
      <w:r w:rsidR="00457D60">
        <w:rPr>
          <w:rFonts w:ascii="Arial" w:hAnsi="Arial" w:cs="Arial"/>
          <w:sz w:val="24"/>
          <w:szCs w:val="24"/>
        </w:rPr>
        <w:t xml:space="preserve">written </w:t>
      </w:r>
      <w:r w:rsidR="00866B52">
        <w:rPr>
          <w:rFonts w:ascii="Arial" w:hAnsi="Arial" w:cs="Arial"/>
          <w:sz w:val="24"/>
          <w:szCs w:val="24"/>
        </w:rPr>
        <w:t>notice</w:t>
      </w:r>
      <w:r w:rsidR="00DE4556">
        <w:rPr>
          <w:rFonts w:ascii="Arial" w:hAnsi="Arial" w:cs="Arial"/>
          <w:sz w:val="24"/>
          <w:szCs w:val="24"/>
        </w:rPr>
        <w:t>,</w:t>
      </w:r>
      <w:r>
        <w:rPr>
          <w:rFonts w:ascii="Arial" w:hAnsi="Arial" w:cs="Arial"/>
          <w:sz w:val="24"/>
          <w:szCs w:val="24"/>
        </w:rPr>
        <w:t xml:space="preserve"> withdraw a notice of </w:t>
      </w:r>
      <w:r w:rsidR="003B653C">
        <w:rPr>
          <w:rFonts w:ascii="Arial" w:hAnsi="Arial" w:cs="Arial"/>
          <w:sz w:val="24"/>
          <w:szCs w:val="24"/>
        </w:rPr>
        <w:t>i</w:t>
      </w:r>
      <w:r>
        <w:rPr>
          <w:rFonts w:ascii="Arial" w:hAnsi="Arial" w:cs="Arial"/>
          <w:sz w:val="24"/>
          <w:szCs w:val="24"/>
        </w:rPr>
        <w:t>ntent or final notice or reduce the amount specified in the notice of intent or final notice</w:t>
      </w:r>
      <w:r w:rsidR="00DE4556">
        <w:rPr>
          <w:rFonts w:ascii="Arial" w:hAnsi="Arial" w:cs="Arial"/>
          <w:sz w:val="24"/>
          <w:szCs w:val="24"/>
        </w:rPr>
        <w:t>.</w:t>
      </w:r>
      <w:r w:rsidR="003B653C">
        <w:rPr>
          <w:rFonts w:ascii="Arial" w:hAnsi="Arial" w:cs="Arial"/>
          <w:sz w:val="24"/>
          <w:szCs w:val="24"/>
        </w:rPr>
        <w:t xml:space="preserve"> </w:t>
      </w:r>
      <w:r w:rsidR="00AB0816" w:rsidRPr="00EA4A07">
        <w:rPr>
          <w:rFonts w:ascii="Arial" w:hAnsi="Arial" w:cs="Arial"/>
          <w:sz w:val="24"/>
          <w:szCs w:val="24"/>
        </w:rPr>
        <w:t>The person wh</w:t>
      </w:r>
      <w:r w:rsidR="00AB0816">
        <w:rPr>
          <w:rFonts w:ascii="Arial" w:hAnsi="Arial" w:cs="Arial"/>
          <w:sz w:val="24"/>
          <w:szCs w:val="24"/>
        </w:rPr>
        <w:t>o</w:t>
      </w:r>
      <w:r w:rsidR="00AB0816" w:rsidRPr="00EA4A07">
        <w:rPr>
          <w:rFonts w:ascii="Arial" w:hAnsi="Arial" w:cs="Arial"/>
          <w:sz w:val="24"/>
          <w:szCs w:val="24"/>
        </w:rPr>
        <w:t xml:space="preserve"> </w:t>
      </w:r>
      <w:r w:rsidR="00AB0816">
        <w:rPr>
          <w:rFonts w:ascii="Arial" w:hAnsi="Arial" w:cs="Arial"/>
          <w:sz w:val="24"/>
          <w:szCs w:val="24"/>
        </w:rPr>
        <w:t xml:space="preserve">is given </w:t>
      </w:r>
      <w:r w:rsidR="00AB0816" w:rsidRPr="00EA4A07">
        <w:rPr>
          <w:rFonts w:ascii="Arial" w:hAnsi="Arial" w:cs="Arial"/>
          <w:sz w:val="24"/>
          <w:szCs w:val="24"/>
        </w:rPr>
        <w:t xml:space="preserve">the final notice </w:t>
      </w:r>
      <w:r w:rsidR="00AB0816">
        <w:rPr>
          <w:rFonts w:ascii="Arial" w:hAnsi="Arial" w:cs="Arial"/>
          <w:sz w:val="24"/>
          <w:szCs w:val="24"/>
        </w:rPr>
        <w:t>may</w:t>
      </w:r>
      <w:r w:rsidR="00AB0816" w:rsidRPr="00EA4A07">
        <w:rPr>
          <w:rFonts w:ascii="Arial" w:hAnsi="Arial" w:cs="Arial"/>
          <w:sz w:val="24"/>
          <w:szCs w:val="24"/>
        </w:rPr>
        <w:t xml:space="preserve"> appeal to the First Tier Tribunal within 28 days</w:t>
      </w:r>
      <w:r w:rsidR="00AB0816">
        <w:rPr>
          <w:rFonts w:ascii="Arial" w:hAnsi="Arial" w:cs="Arial"/>
          <w:sz w:val="24"/>
          <w:szCs w:val="24"/>
        </w:rPr>
        <w:t xml:space="preserve"> against the decision to impose the penalty or the amount of the penalty.</w:t>
      </w:r>
    </w:p>
    <w:p w:rsidR="00DB1E89" w:rsidRDefault="006943FA" w:rsidP="00DB1E89">
      <w:pPr>
        <w:rPr>
          <w:rFonts w:ascii="Arial" w:hAnsi="Arial" w:cs="Arial"/>
          <w:sz w:val="24"/>
          <w:szCs w:val="24"/>
        </w:rPr>
      </w:pPr>
      <w:r>
        <w:rPr>
          <w:rFonts w:ascii="Arial" w:hAnsi="Arial" w:cs="Arial"/>
          <w:sz w:val="24"/>
          <w:szCs w:val="24"/>
        </w:rPr>
        <w:t xml:space="preserve">Enforcement and </w:t>
      </w:r>
      <w:r w:rsidR="00DB1E89" w:rsidRPr="00EA4A07">
        <w:rPr>
          <w:rFonts w:ascii="Arial" w:hAnsi="Arial" w:cs="Arial"/>
          <w:sz w:val="24"/>
          <w:szCs w:val="24"/>
        </w:rPr>
        <w:t xml:space="preserve">Consequences of non-compliance </w:t>
      </w:r>
    </w:p>
    <w:p w:rsidR="006C7711" w:rsidRDefault="006C7711" w:rsidP="00DB1E89">
      <w:pPr>
        <w:rPr>
          <w:rFonts w:ascii="Arial" w:hAnsi="Arial" w:cs="Arial"/>
          <w:sz w:val="24"/>
          <w:szCs w:val="24"/>
        </w:rPr>
      </w:pPr>
      <w:r>
        <w:rPr>
          <w:rFonts w:ascii="Arial" w:hAnsi="Arial" w:cs="Arial"/>
          <w:sz w:val="24"/>
          <w:szCs w:val="24"/>
        </w:rPr>
        <w:t xml:space="preserve">Multiple Offences </w:t>
      </w:r>
    </w:p>
    <w:p w:rsidR="00652396" w:rsidRPr="00EA4A07" w:rsidRDefault="00652396" w:rsidP="00DB1E89">
      <w:pPr>
        <w:rPr>
          <w:rFonts w:ascii="Arial" w:hAnsi="Arial" w:cs="Arial"/>
          <w:sz w:val="24"/>
          <w:szCs w:val="24"/>
        </w:rPr>
      </w:pPr>
      <w:r w:rsidRPr="00652396">
        <w:rPr>
          <w:rFonts w:ascii="Arial" w:hAnsi="Arial" w:cs="Arial"/>
          <w:sz w:val="24"/>
          <w:szCs w:val="24"/>
        </w:rPr>
        <w:t>When the Council are satisfied that more than one offence is being committed concurrently, they may issue multiple Civil Penalty Notices. Where satisfied on the merits of a case and/or where the Council consider that issuing multiple penalties at the same time would result in an excessive cumulative penalty, nothing in this policy shall require the Council to do so. The Council may decide to take action in respect of one or some of the offences and warn the offender that future action in respect of the remaining offences will be taken if they continue.</w:t>
      </w:r>
    </w:p>
    <w:p w:rsidR="00DB1E89" w:rsidRDefault="006943FA" w:rsidP="00DB1E89">
      <w:pPr>
        <w:rPr>
          <w:rFonts w:ascii="Arial" w:hAnsi="Arial" w:cs="Arial"/>
          <w:sz w:val="24"/>
          <w:szCs w:val="24"/>
        </w:rPr>
      </w:pPr>
      <w:r>
        <w:rPr>
          <w:rFonts w:ascii="Arial" w:hAnsi="Arial" w:cs="Arial"/>
          <w:sz w:val="24"/>
          <w:szCs w:val="24"/>
        </w:rPr>
        <w:t xml:space="preserve">Where a landlord or property agent </w:t>
      </w:r>
      <w:r w:rsidR="00DE4556">
        <w:rPr>
          <w:rFonts w:ascii="Arial" w:hAnsi="Arial" w:cs="Arial"/>
          <w:sz w:val="24"/>
          <w:szCs w:val="24"/>
        </w:rPr>
        <w:t xml:space="preserve">fails to pay the whole or any part of a </w:t>
      </w:r>
      <w:r>
        <w:rPr>
          <w:rFonts w:ascii="Arial" w:hAnsi="Arial" w:cs="Arial"/>
          <w:sz w:val="24"/>
          <w:szCs w:val="24"/>
        </w:rPr>
        <w:t xml:space="preserve">civil </w:t>
      </w:r>
      <w:r w:rsidR="003B653C">
        <w:rPr>
          <w:rFonts w:ascii="Arial" w:hAnsi="Arial" w:cs="Arial"/>
          <w:sz w:val="24"/>
          <w:szCs w:val="24"/>
        </w:rPr>
        <w:t>penalty</w:t>
      </w:r>
      <w:r w:rsidR="00DE4556">
        <w:rPr>
          <w:rFonts w:ascii="Arial" w:hAnsi="Arial" w:cs="Arial"/>
          <w:sz w:val="24"/>
          <w:szCs w:val="24"/>
        </w:rPr>
        <w:t xml:space="preserve"> including after any appeal has </w:t>
      </w:r>
      <w:r w:rsidR="00866B52">
        <w:rPr>
          <w:rFonts w:ascii="Arial" w:hAnsi="Arial" w:cs="Arial"/>
          <w:sz w:val="24"/>
          <w:szCs w:val="24"/>
        </w:rPr>
        <w:t xml:space="preserve">been </w:t>
      </w:r>
      <w:r w:rsidR="00866B52" w:rsidRPr="00EA4A07">
        <w:rPr>
          <w:rFonts w:ascii="Arial" w:hAnsi="Arial" w:cs="Arial"/>
          <w:sz w:val="24"/>
          <w:szCs w:val="24"/>
        </w:rPr>
        <w:t>finally</w:t>
      </w:r>
      <w:r w:rsidR="00DB1E89" w:rsidRPr="00EA4A07">
        <w:rPr>
          <w:rFonts w:ascii="Arial" w:hAnsi="Arial" w:cs="Arial"/>
          <w:sz w:val="24"/>
          <w:szCs w:val="24"/>
        </w:rPr>
        <w:t xml:space="preserve"> determined or withdrawn, the Coun</w:t>
      </w:r>
      <w:r w:rsidR="00EA4A07" w:rsidRPr="00EA4A07">
        <w:rPr>
          <w:rFonts w:ascii="Arial" w:hAnsi="Arial" w:cs="Arial"/>
          <w:sz w:val="24"/>
          <w:szCs w:val="24"/>
        </w:rPr>
        <w:t>cil will recover the penalty by</w:t>
      </w:r>
      <w:r w:rsidR="009B742D">
        <w:rPr>
          <w:rFonts w:ascii="Arial" w:hAnsi="Arial" w:cs="Arial"/>
          <w:sz w:val="24"/>
          <w:szCs w:val="24"/>
        </w:rPr>
        <w:t xml:space="preserve"> </w:t>
      </w:r>
      <w:r w:rsidR="00DB1E89" w:rsidRPr="00EA4A07">
        <w:rPr>
          <w:rFonts w:ascii="Arial" w:hAnsi="Arial" w:cs="Arial"/>
          <w:sz w:val="24"/>
          <w:szCs w:val="24"/>
        </w:rPr>
        <w:t xml:space="preserve">order from </w:t>
      </w:r>
      <w:r w:rsidR="00A61BC3">
        <w:rPr>
          <w:rFonts w:ascii="Arial" w:hAnsi="Arial" w:cs="Arial"/>
          <w:sz w:val="24"/>
          <w:szCs w:val="24"/>
        </w:rPr>
        <w:t xml:space="preserve">the </w:t>
      </w:r>
      <w:r w:rsidR="00DB1E89" w:rsidRPr="00EA4A07">
        <w:rPr>
          <w:rFonts w:ascii="Arial" w:hAnsi="Arial" w:cs="Arial"/>
          <w:sz w:val="24"/>
          <w:szCs w:val="24"/>
        </w:rPr>
        <w:t xml:space="preserve">County Court. </w:t>
      </w:r>
      <w:r w:rsidRPr="006943FA">
        <w:rPr>
          <w:rFonts w:ascii="Arial" w:hAnsi="Arial" w:cs="Arial"/>
          <w:sz w:val="24"/>
          <w:szCs w:val="24"/>
        </w:rPr>
        <w:t xml:space="preserve">If necessary, the Council will use county court bailiffs to enforce the order and recover the debt. </w:t>
      </w:r>
      <w:r w:rsidR="00DB1E89" w:rsidRPr="00EA4A07">
        <w:rPr>
          <w:rFonts w:ascii="Arial" w:hAnsi="Arial" w:cs="Arial"/>
          <w:sz w:val="24"/>
          <w:szCs w:val="24"/>
        </w:rPr>
        <w:t>The Council will also seek to recover the costs</w:t>
      </w:r>
      <w:r w:rsidR="00EA4A07" w:rsidRPr="00EA4A07">
        <w:rPr>
          <w:rFonts w:ascii="Arial" w:hAnsi="Arial" w:cs="Arial"/>
          <w:sz w:val="24"/>
          <w:szCs w:val="24"/>
        </w:rPr>
        <w:t xml:space="preserve"> </w:t>
      </w:r>
      <w:r w:rsidR="00DB1E89" w:rsidRPr="00EA4A07">
        <w:rPr>
          <w:rFonts w:ascii="Arial" w:hAnsi="Arial" w:cs="Arial"/>
          <w:sz w:val="24"/>
          <w:szCs w:val="24"/>
        </w:rPr>
        <w:t>incurred in taking this action from the person to which the financial penalty relates.</w:t>
      </w:r>
    </w:p>
    <w:p w:rsidR="006943FA" w:rsidRPr="006943FA" w:rsidRDefault="006943FA" w:rsidP="006943FA">
      <w:pPr>
        <w:rPr>
          <w:rFonts w:ascii="Arial" w:hAnsi="Arial" w:cs="Arial"/>
          <w:sz w:val="24"/>
          <w:szCs w:val="24"/>
        </w:rPr>
      </w:pPr>
      <w:r w:rsidRPr="006943FA">
        <w:rPr>
          <w:rFonts w:ascii="Arial" w:hAnsi="Arial" w:cs="Arial"/>
          <w:sz w:val="24"/>
          <w:szCs w:val="24"/>
        </w:rPr>
        <w:t xml:space="preserve">The Council’s powers to carry out works in default under the Housing Act 2004 are unaffected by the civil penalty provisions. </w:t>
      </w:r>
    </w:p>
    <w:p w:rsidR="006943FA" w:rsidRPr="006943FA" w:rsidRDefault="006943FA" w:rsidP="006943FA">
      <w:pPr>
        <w:rPr>
          <w:rFonts w:ascii="Arial" w:hAnsi="Arial" w:cs="Arial"/>
          <w:sz w:val="24"/>
          <w:szCs w:val="24"/>
        </w:rPr>
      </w:pPr>
      <w:r w:rsidRPr="006943FA">
        <w:rPr>
          <w:rFonts w:ascii="Arial" w:hAnsi="Arial" w:cs="Arial"/>
          <w:sz w:val="24"/>
          <w:szCs w:val="24"/>
        </w:rPr>
        <w:t xml:space="preserve">If a </w:t>
      </w:r>
      <w:r>
        <w:rPr>
          <w:rFonts w:ascii="Arial" w:hAnsi="Arial" w:cs="Arial"/>
          <w:sz w:val="24"/>
          <w:szCs w:val="24"/>
        </w:rPr>
        <w:t xml:space="preserve">person </w:t>
      </w:r>
      <w:r w:rsidRPr="006943FA">
        <w:rPr>
          <w:rFonts w:ascii="Arial" w:hAnsi="Arial" w:cs="Arial"/>
          <w:sz w:val="24"/>
          <w:szCs w:val="24"/>
        </w:rPr>
        <w:t>receives a civil penalty, that fact can be taken into account if considering whether the</w:t>
      </w:r>
      <w:r>
        <w:rPr>
          <w:rFonts w:ascii="Arial" w:hAnsi="Arial" w:cs="Arial"/>
          <w:sz w:val="24"/>
          <w:szCs w:val="24"/>
        </w:rPr>
        <w:t xml:space="preserve"> person</w:t>
      </w:r>
      <w:r w:rsidRPr="006943FA">
        <w:rPr>
          <w:rFonts w:ascii="Arial" w:hAnsi="Arial" w:cs="Arial"/>
          <w:sz w:val="24"/>
          <w:szCs w:val="24"/>
        </w:rPr>
        <w:t xml:space="preserve"> is a fit and proper person to be the licence holder for a House in Multiple Occupation (HMO) or any other property subject to licensing. </w:t>
      </w:r>
    </w:p>
    <w:p w:rsidR="00F521BE" w:rsidRDefault="006943FA" w:rsidP="00D82022">
      <w:pPr>
        <w:rPr>
          <w:rFonts w:ascii="Arial" w:hAnsi="Arial" w:cs="Arial"/>
          <w:sz w:val="24"/>
          <w:szCs w:val="24"/>
        </w:rPr>
      </w:pPr>
      <w:r w:rsidRPr="006943FA">
        <w:rPr>
          <w:rFonts w:ascii="Arial" w:hAnsi="Arial" w:cs="Arial"/>
          <w:sz w:val="24"/>
          <w:szCs w:val="24"/>
        </w:rPr>
        <w:t xml:space="preserve">Where a landlord receives two or more civil penalties over a 12 month period, the Council will include that person’s details in the database of rogue landlords and property agents. While it is not a compulsory requirement, under the </w:t>
      </w:r>
      <w:r>
        <w:rPr>
          <w:rFonts w:ascii="Arial" w:hAnsi="Arial" w:cs="Arial"/>
          <w:sz w:val="24"/>
          <w:szCs w:val="24"/>
        </w:rPr>
        <w:t>MHG&amp;LG</w:t>
      </w:r>
      <w:r w:rsidRPr="006943FA">
        <w:rPr>
          <w:rFonts w:ascii="Arial" w:hAnsi="Arial" w:cs="Arial"/>
          <w:sz w:val="24"/>
          <w:szCs w:val="24"/>
        </w:rPr>
        <w:t xml:space="preserve"> guidance Councils are strongly encouraged to do so. This will help ensure that other Councils are made aware that formal action has been taken against the landlord</w:t>
      </w:r>
      <w:r w:rsidR="00652396">
        <w:rPr>
          <w:rFonts w:ascii="Arial" w:hAnsi="Arial" w:cs="Arial"/>
          <w:sz w:val="24"/>
          <w:szCs w:val="24"/>
        </w:rPr>
        <w:t>.</w:t>
      </w:r>
      <w:r w:rsidR="000D0233">
        <w:rPr>
          <w:rFonts w:ascii="Arial" w:hAnsi="Arial" w:cs="Arial"/>
          <w:sz w:val="24"/>
          <w:szCs w:val="24"/>
        </w:rPr>
        <w:br/>
      </w:r>
      <w:r w:rsidR="00652396">
        <w:rPr>
          <w:rFonts w:ascii="Arial" w:hAnsi="Arial" w:cs="Arial"/>
          <w:sz w:val="24"/>
          <w:szCs w:val="24"/>
        </w:rPr>
        <w:br/>
      </w:r>
    </w:p>
    <w:p w:rsidR="00F521BE" w:rsidRDefault="00F521BE" w:rsidP="00D82022">
      <w:pPr>
        <w:rPr>
          <w:rFonts w:ascii="Arial" w:hAnsi="Arial" w:cs="Arial"/>
          <w:sz w:val="24"/>
          <w:szCs w:val="24"/>
        </w:rPr>
      </w:pPr>
    </w:p>
    <w:p w:rsidR="00D82022" w:rsidRDefault="00D82022" w:rsidP="00D82022">
      <w:pPr>
        <w:rPr>
          <w:rFonts w:ascii="Arial" w:hAnsi="Arial" w:cs="Arial"/>
          <w:sz w:val="24"/>
          <w:szCs w:val="24"/>
        </w:rPr>
      </w:pPr>
      <w:r w:rsidRPr="00EA4A07">
        <w:rPr>
          <w:rFonts w:ascii="Arial" w:hAnsi="Arial" w:cs="Arial"/>
          <w:sz w:val="24"/>
          <w:szCs w:val="24"/>
        </w:rPr>
        <w:lastRenderedPageBreak/>
        <w:t>Reduction in Penalty</w:t>
      </w:r>
    </w:p>
    <w:p w:rsidR="00457D60" w:rsidRDefault="00F60C01" w:rsidP="00D82022">
      <w:pPr>
        <w:rPr>
          <w:rFonts w:ascii="Arial" w:hAnsi="Arial" w:cs="Arial"/>
          <w:sz w:val="24"/>
          <w:szCs w:val="24"/>
        </w:rPr>
      </w:pPr>
      <w:r w:rsidRPr="00F60C01">
        <w:rPr>
          <w:rFonts w:ascii="Arial" w:hAnsi="Arial" w:cs="Arial"/>
          <w:sz w:val="24"/>
          <w:szCs w:val="24"/>
        </w:rPr>
        <w:t>The Council will take into account mitigating factors, including any admission of guilt. Any reduction in the level of financial penalty will be decided on a case by case basis, up to a maximum of a third discount.</w:t>
      </w:r>
    </w:p>
    <w:p w:rsidR="00D631C4" w:rsidRPr="00EA4A07" w:rsidRDefault="00D82022" w:rsidP="00D82022">
      <w:pPr>
        <w:rPr>
          <w:rFonts w:ascii="Arial" w:hAnsi="Arial" w:cs="Arial"/>
          <w:sz w:val="24"/>
          <w:szCs w:val="24"/>
        </w:rPr>
      </w:pPr>
      <w:r w:rsidRPr="00EA4A07">
        <w:rPr>
          <w:rFonts w:ascii="Arial" w:hAnsi="Arial" w:cs="Arial"/>
          <w:sz w:val="24"/>
          <w:szCs w:val="24"/>
        </w:rPr>
        <w:t xml:space="preserve">If the </w:t>
      </w:r>
      <w:r w:rsidR="00A61BC3">
        <w:rPr>
          <w:rFonts w:ascii="Arial" w:hAnsi="Arial" w:cs="Arial"/>
          <w:sz w:val="24"/>
          <w:szCs w:val="24"/>
        </w:rPr>
        <w:t xml:space="preserve">person on whom a notice of intent has been served </w:t>
      </w:r>
      <w:r w:rsidR="00DD1908">
        <w:rPr>
          <w:rFonts w:ascii="Arial" w:hAnsi="Arial" w:cs="Arial"/>
          <w:sz w:val="24"/>
          <w:szCs w:val="24"/>
        </w:rPr>
        <w:t xml:space="preserve">carries out </w:t>
      </w:r>
      <w:r w:rsidR="003B653C">
        <w:rPr>
          <w:rFonts w:ascii="Arial" w:hAnsi="Arial" w:cs="Arial"/>
          <w:sz w:val="24"/>
          <w:szCs w:val="24"/>
        </w:rPr>
        <w:t xml:space="preserve">the </w:t>
      </w:r>
      <w:r w:rsidR="00DD1908">
        <w:rPr>
          <w:rFonts w:ascii="Arial" w:hAnsi="Arial" w:cs="Arial"/>
          <w:sz w:val="24"/>
          <w:szCs w:val="24"/>
        </w:rPr>
        <w:t>required works</w:t>
      </w:r>
      <w:r w:rsidR="003B653C">
        <w:rPr>
          <w:rFonts w:ascii="Arial" w:hAnsi="Arial" w:cs="Arial"/>
          <w:sz w:val="24"/>
          <w:szCs w:val="24"/>
        </w:rPr>
        <w:t xml:space="preserve"> or obligations</w:t>
      </w:r>
      <w:r w:rsidR="00DD1908">
        <w:rPr>
          <w:rFonts w:ascii="Arial" w:hAnsi="Arial" w:cs="Arial"/>
          <w:sz w:val="24"/>
          <w:szCs w:val="24"/>
        </w:rPr>
        <w:t xml:space="preserve"> </w:t>
      </w:r>
      <w:r w:rsidR="00A61BC3">
        <w:rPr>
          <w:rFonts w:ascii="Arial" w:hAnsi="Arial" w:cs="Arial"/>
          <w:sz w:val="24"/>
          <w:szCs w:val="24"/>
        </w:rPr>
        <w:t>before the final notice is served</w:t>
      </w:r>
      <w:r w:rsidRPr="00EA4A07">
        <w:rPr>
          <w:rFonts w:ascii="Arial" w:hAnsi="Arial" w:cs="Arial"/>
          <w:sz w:val="24"/>
          <w:szCs w:val="24"/>
        </w:rPr>
        <w:t>, the Council will consider a red</w:t>
      </w:r>
      <w:r w:rsidR="00570661">
        <w:rPr>
          <w:rFonts w:ascii="Arial" w:hAnsi="Arial" w:cs="Arial"/>
          <w:sz w:val="24"/>
          <w:szCs w:val="24"/>
        </w:rPr>
        <w:t xml:space="preserve">uction of </w:t>
      </w:r>
      <w:r w:rsidR="00A61BC3">
        <w:rPr>
          <w:rFonts w:ascii="Arial" w:hAnsi="Arial" w:cs="Arial"/>
          <w:sz w:val="24"/>
          <w:szCs w:val="24"/>
        </w:rPr>
        <w:t xml:space="preserve">up to </w:t>
      </w:r>
      <w:r w:rsidR="00DD1908">
        <w:rPr>
          <w:rFonts w:ascii="Arial" w:hAnsi="Arial" w:cs="Arial"/>
          <w:sz w:val="24"/>
          <w:szCs w:val="24"/>
        </w:rPr>
        <w:t xml:space="preserve">one third </w:t>
      </w:r>
      <w:r w:rsidR="005457A9" w:rsidRPr="00EA4A07">
        <w:rPr>
          <w:rFonts w:ascii="Arial" w:hAnsi="Arial" w:cs="Arial"/>
          <w:sz w:val="24"/>
          <w:szCs w:val="24"/>
        </w:rPr>
        <w:t xml:space="preserve">in </w:t>
      </w:r>
      <w:r w:rsidRPr="00EA4A07">
        <w:rPr>
          <w:rFonts w:ascii="Arial" w:hAnsi="Arial" w:cs="Arial"/>
          <w:sz w:val="24"/>
          <w:szCs w:val="24"/>
        </w:rPr>
        <w:t>t</w:t>
      </w:r>
      <w:r w:rsidR="00570661">
        <w:rPr>
          <w:rFonts w:ascii="Arial" w:hAnsi="Arial" w:cs="Arial"/>
          <w:sz w:val="24"/>
          <w:szCs w:val="24"/>
        </w:rPr>
        <w:t xml:space="preserve">he civil penalty </w:t>
      </w:r>
      <w:r w:rsidRPr="00EA4A07">
        <w:rPr>
          <w:rFonts w:ascii="Arial" w:hAnsi="Arial" w:cs="Arial"/>
          <w:sz w:val="24"/>
          <w:szCs w:val="24"/>
        </w:rPr>
        <w:t>applied in the ‘Final Notice’.</w:t>
      </w:r>
      <w:r w:rsidR="00570661">
        <w:rPr>
          <w:rFonts w:ascii="Arial" w:hAnsi="Arial" w:cs="Arial"/>
          <w:sz w:val="24"/>
          <w:szCs w:val="24"/>
        </w:rPr>
        <w:t xml:space="preserve"> </w:t>
      </w:r>
      <w:r w:rsidR="00245F42" w:rsidRPr="00EA4A07">
        <w:rPr>
          <w:rFonts w:ascii="Arial" w:hAnsi="Arial" w:cs="Arial"/>
          <w:sz w:val="24"/>
          <w:szCs w:val="24"/>
        </w:rPr>
        <w:t xml:space="preserve">No </w:t>
      </w:r>
      <w:r w:rsidR="00135324">
        <w:rPr>
          <w:rFonts w:ascii="Arial" w:hAnsi="Arial" w:cs="Arial"/>
          <w:sz w:val="24"/>
          <w:szCs w:val="24"/>
        </w:rPr>
        <w:t>further opportunity for a discount will be available after this time.</w:t>
      </w:r>
      <w:r w:rsidR="00D631C4">
        <w:rPr>
          <w:rFonts w:ascii="Arial" w:hAnsi="Arial" w:cs="Arial"/>
          <w:sz w:val="24"/>
          <w:szCs w:val="24"/>
        </w:rPr>
        <w:t xml:space="preserve"> </w:t>
      </w:r>
      <w:r w:rsidR="0062705D">
        <w:rPr>
          <w:rFonts w:ascii="Arial" w:hAnsi="Arial" w:cs="Arial"/>
          <w:sz w:val="24"/>
          <w:szCs w:val="24"/>
        </w:rPr>
        <w:t xml:space="preserve">A person may receive a discount for an admission of guilt and for completing required works but the combined discount will </w:t>
      </w:r>
      <w:r w:rsidR="00D631C4">
        <w:rPr>
          <w:rFonts w:ascii="Arial" w:hAnsi="Arial" w:cs="Arial"/>
          <w:sz w:val="24"/>
          <w:szCs w:val="24"/>
        </w:rPr>
        <w:t>not be greater than one third.</w:t>
      </w:r>
    </w:p>
    <w:p w:rsidR="00245F42" w:rsidRPr="00EA4A07" w:rsidRDefault="00570661" w:rsidP="00D82022">
      <w:pPr>
        <w:rPr>
          <w:rFonts w:ascii="Arial" w:hAnsi="Arial" w:cs="Arial"/>
          <w:sz w:val="24"/>
          <w:szCs w:val="24"/>
        </w:rPr>
      </w:pPr>
      <w:r>
        <w:rPr>
          <w:rFonts w:ascii="Arial" w:hAnsi="Arial" w:cs="Arial"/>
          <w:sz w:val="24"/>
          <w:szCs w:val="24"/>
        </w:rPr>
        <w:t xml:space="preserve">Any reduction </w:t>
      </w:r>
      <w:r w:rsidR="00C92DFB">
        <w:rPr>
          <w:rFonts w:ascii="Arial" w:hAnsi="Arial" w:cs="Arial"/>
          <w:sz w:val="24"/>
          <w:szCs w:val="24"/>
        </w:rPr>
        <w:t xml:space="preserve">must </w:t>
      </w:r>
      <w:r>
        <w:rPr>
          <w:rFonts w:ascii="Arial" w:hAnsi="Arial" w:cs="Arial"/>
          <w:sz w:val="24"/>
          <w:szCs w:val="24"/>
        </w:rPr>
        <w:t>not result in a financial penalty being less than the financial gain received by the owner from</w:t>
      </w:r>
      <w:r w:rsidR="00135324">
        <w:rPr>
          <w:rFonts w:ascii="Arial" w:hAnsi="Arial" w:cs="Arial"/>
          <w:sz w:val="24"/>
          <w:szCs w:val="24"/>
        </w:rPr>
        <w:t xml:space="preserve"> </w:t>
      </w:r>
      <w:r w:rsidR="0062705D">
        <w:rPr>
          <w:rFonts w:ascii="Arial" w:hAnsi="Arial" w:cs="Arial"/>
          <w:sz w:val="24"/>
          <w:szCs w:val="24"/>
        </w:rPr>
        <w:t xml:space="preserve">committing </w:t>
      </w:r>
      <w:r>
        <w:rPr>
          <w:rFonts w:ascii="Arial" w:hAnsi="Arial" w:cs="Arial"/>
          <w:sz w:val="24"/>
          <w:szCs w:val="24"/>
        </w:rPr>
        <w:t>the offence.</w:t>
      </w:r>
    </w:p>
    <w:p w:rsidR="000D0233" w:rsidRDefault="000D0233" w:rsidP="00D82022">
      <w:pPr>
        <w:rPr>
          <w:rFonts w:ascii="Arial" w:hAnsi="Arial" w:cs="Arial"/>
          <w:sz w:val="24"/>
          <w:szCs w:val="24"/>
        </w:rPr>
      </w:pPr>
      <w:r>
        <w:rPr>
          <w:rFonts w:ascii="Arial" w:hAnsi="Arial" w:cs="Arial"/>
          <w:sz w:val="24"/>
          <w:szCs w:val="24"/>
        </w:rPr>
        <w:t xml:space="preserve">Financial hardship </w:t>
      </w:r>
    </w:p>
    <w:p w:rsidR="000D4801" w:rsidRDefault="005457A9" w:rsidP="00D82022">
      <w:pPr>
        <w:rPr>
          <w:rFonts w:ascii="Arial" w:hAnsi="Arial" w:cs="Arial"/>
          <w:sz w:val="24"/>
          <w:szCs w:val="24"/>
        </w:rPr>
      </w:pPr>
      <w:r w:rsidRPr="00EA4A07">
        <w:rPr>
          <w:rFonts w:ascii="Arial" w:hAnsi="Arial" w:cs="Arial"/>
          <w:sz w:val="24"/>
          <w:szCs w:val="24"/>
        </w:rPr>
        <w:t xml:space="preserve">The Council should make an assessment of a landlord’s assets and </w:t>
      </w:r>
      <w:r w:rsidRPr="00EA4A07">
        <w:rPr>
          <w:rFonts w:ascii="Arial" w:hAnsi="Arial" w:cs="Arial"/>
          <w:sz w:val="24"/>
          <w:szCs w:val="24"/>
          <w:u w:val="single"/>
        </w:rPr>
        <w:t>all</w:t>
      </w:r>
      <w:r w:rsidRPr="00EA4A07">
        <w:rPr>
          <w:rFonts w:ascii="Arial" w:hAnsi="Arial" w:cs="Arial"/>
          <w:sz w:val="24"/>
          <w:szCs w:val="24"/>
        </w:rPr>
        <w:t xml:space="preserve"> income not just rental income when determining an appropriate penalty. </w:t>
      </w:r>
      <w:r w:rsidR="001309F1">
        <w:rPr>
          <w:rFonts w:ascii="Arial" w:hAnsi="Arial" w:cs="Arial"/>
          <w:sz w:val="24"/>
          <w:szCs w:val="24"/>
        </w:rPr>
        <w:t xml:space="preserve">A person </w:t>
      </w:r>
      <w:r w:rsidRPr="00EA4A07">
        <w:rPr>
          <w:rFonts w:ascii="Arial" w:hAnsi="Arial" w:cs="Arial"/>
          <w:sz w:val="24"/>
          <w:szCs w:val="24"/>
        </w:rPr>
        <w:t>will have the opportunity to make representations following the service of the Notice of Intent and may set out any financial hardship in those representation</w:t>
      </w:r>
      <w:r w:rsidR="00D631C4">
        <w:rPr>
          <w:rFonts w:ascii="Arial" w:hAnsi="Arial" w:cs="Arial"/>
          <w:sz w:val="24"/>
          <w:szCs w:val="24"/>
        </w:rPr>
        <w:t>s. The onus is placed firmly on</w:t>
      </w:r>
      <w:r w:rsidR="003B653C">
        <w:rPr>
          <w:rFonts w:ascii="Arial" w:hAnsi="Arial" w:cs="Arial"/>
          <w:sz w:val="24"/>
          <w:szCs w:val="24"/>
        </w:rPr>
        <w:t xml:space="preserve"> the </w:t>
      </w:r>
      <w:r w:rsidR="001309F1">
        <w:rPr>
          <w:rFonts w:ascii="Arial" w:hAnsi="Arial" w:cs="Arial"/>
          <w:sz w:val="24"/>
          <w:szCs w:val="24"/>
        </w:rPr>
        <w:t>person</w:t>
      </w:r>
      <w:r w:rsidRPr="00EA4A07">
        <w:rPr>
          <w:rFonts w:ascii="Arial" w:hAnsi="Arial" w:cs="Arial"/>
          <w:sz w:val="24"/>
          <w:szCs w:val="24"/>
        </w:rPr>
        <w:t xml:space="preserve"> to provide sufficient documented evidence of income</w:t>
      </w:r>
      <w:r w:rsidR="009B742D">
        <w:rPr>
          <w:rFonts w:ascii="Arial" w:hAnsi="Arial" w:cs="Arial"/>
          <w:sz w:val="24"/>
          <w:szCs w:val="24"/>
        </w:rPr>
        <w:t>.</w:t>
      </w:r>
      <w:r w:rsidR="00570661">
        <w:rPr>
          <w:rFonts w:ascii="Arial" w:hAnsi="Arial" w:cs="Arial"/>
          <w:sz w:val="24"/>
          <w:szCs w:val="24"/>
        </w:rPr>
        <w:t xml:space="preserve"> </w:t>
      </w:r>
      <w:r w:rsidRPr="00EA4A07">
        <w:rPr>
          <w:rFonts w:ascii="Arial" w:hAnsi="Arial" w:cs="Arial"/>
          <w:sz w:val="24"/>
          <w:szCs w:val="24"/>
        </w:rPr>
        <w:t>The Council reserves the right to request further information to support any financial claim and where this is incomplete, appears to be inaccurate</w:t>
      </w:r>
      <w:r w:rsidR="00AB0816">
        <w:rPr>
          <w:rFonts w:ascii="Arial" w:hAnsi="Arial" w:cs="Arial"/>
          <w:sz w:val="24"/>
          <w:szCs w:val="24"/>
        </w:rPr>
        <w:t>,</w:t>
      </w:r>
      <w:r w:rsidRPr="00EA4A07">
        <w:rPr>
          <w:rFonts w:ascii="Arial" w:hAnsi="Arial" w:cs="Arial"/>
          <w:sz w:val="24"/>
          <w:szCs w:val="24"/>
        </w:rPr>
        <w:t xml:space="preserve"> or the </w:t>
      </w:r>
      <w:r w:rsidR="001309F1" w:rsidRPr="00EA4A07">
        <w:rPr>
          <w:rFonts w:ascii="Arial" w:hAnsi="Arial" w:cs="Arial"/>
          <w:sz w:val="24"/>
          <w:szCs w:val="24"/>
        </w:rPr>
        <w:t>per</w:t>
      </w:r>
      <w:r w:rsidR="001309F1">
        <w:rPr>
          <w:rFonts w:ascii="Arial" w:hAnsi="Arial" w:cs="Arial"/>
          <w:sz w:val="24"/>
          <w:szCs w:val="24"/>
        </w:rPr>
        <w:t>son</w:t>
      </w:r>
      <w:r w:rsidR="001309F1" w:rsidRPr="00EA4A07">
        <w:rPr>
          <w:rFonts w:ascii="Arial" w:hAnsi="Arial" w:cs="Arial"/>
          <w:sz w:val="24"/>
          <w:szCs w:val="24"/>
        </w:rPr>
        <w:t xml:space="preserve"> </w:t>
      </w:r>
      <w:r w:rsidRPr="00EA4A07">
        <w:rPr>
          <w:rFonts w:ascii="Arial" w:hAnsi="Arial" w:cs="Arial"/>
          <w:sz w:val="24"/>
          <w:szCs w:val="24"/>
        </w:rPr>
        <w:t>i</w:t>
      </w:r>
      <w:r w:rsidR="00D631C4">
        <w:rPr>
          <w:rFonts w:ascii="Arial" w:hAnsi="Arial" w:cs="Arial"/>
          <w:sz w:val="24"/>
          <w:szCs w:val="24"/>
        </w:rPr>
        <w:t>s being deliberately misleading</w:t>
      </w:r>
      <w:r w:rsidR="00AB0816">
        <w:rPr>
          <w:rFonts w:ascii="Arial" w:hAnsi="Arial" w:cs="Arial"/>
          <w:sz w:val="24"/>
          <w:szCs w:val="24"/>
        </w:rPr>
        <w:t>,</w:t>
      </w:r>
      <w:r w:rsidRPr="00EA4A07">
        <w:rPr>
          <w:rFonts w:ascii="Arial" w:hAnsi="Arial" w:cs="Arial"/>
          <w:sz w:val="24"/>
          <w:szCs w:val="24"/>
        </w:rPr>
        <w:t xml:space="preserve"> may determine that the representation</w:t>
      </w:r>
      <w:r w:rsidR="00AC3447">
        <w:rPr>
          <w:rFonts w:ascii="Arial" w:hAnsi="Arial" w:cs="Arial"/>
          <w:sz w:val="24"/>
          <w:szCs w:val="24"/>
        </w:rPr>
        <w:t>s</w:t>
      </w:r>
      <w:r w:rsidRPr="00EA4A07">
        <w:rPr>
          <w:rFonts w:ascii="Arial" w:hAnsi="Arial" w:cs="Arial"/>
          <w:sz w:val="24"/>
          <w:szCs w:val="24"/>
        </w:rPr>
        <w:t xml:space="preserve"> should not be considered. It should be noted that due to the</w:t>
      </w:r>
      <w:r w:rsidR="004903C7">
        <w:rPr>
          <w:rFonts w:ascii="Arial" w:hAnsi="Arial" w:cs="Arial"/>
          <w:sz w:val="24"/>
          <w:szCs w:val="24"/>
        </w:rPr>
        <w:t xml:space="preserve"> combination of</w:t>
      </w:r>
      <w:r w:rsidRPr="00EA4A07">
        <w:rPr>
          <w:rFonts w:ascii="Arial" w:hAnsi="Arial" w:cs="Arial"/>
          <w:sz w:val="24"/>
          <w:szCs w:val="24"/>
        </w:rPr>
        <w:t xml:space="preserve"> </w:t>
      </w:r>
      <w:r w:rsidR="004903C7">
        <w:rPr>
          <w:rFonts w:ascii="Arial" w:hAnsi="Arial" w:cs="Arial"/>
          <w:sz w:val="24"/>
          <w:szCs w:val="24"/>
        </w:rPr>
        <w:t xml:space="preserve">high </w:t>
      </w:r>
      <w:r w:rsidRPr="00EA4A07">
        <w:rPr>
          <w:rFonts w:ascii="Arial" w:hAnsi="Arial" w:cs="Arial"/>
          <w:sz w:val="24"/>
          <w:szCs w:val="24"/>
        </w:rPr>
        <w:t>property</w:t>
      </w:r>
      <w:r w:rsidR="004D1F1E" w:rsidRPr="00EA4A07">
        <w:rPr>
          <w:rFonts w:ascii="Arial" w:hAnsi="Arial" w:cs="Arial"/>
          <w:sz w:val="24"/>
          <w:szCs w:val="24"/>
        </w:rPr>
        <w:t xml:space="preserve"> and</w:t>
      </w:r>
      <w:r w:rsidR="004903C7">
        <w:rPr>
          <w:rFonts w:ascii="Arial" w:hAnsi="Arial" w:cs="Arial"/>
          <w:sz w:val="24"/>
          <w:szCs w:val="24"/>
        </w:rPr>
        <w:t xml:space="preserve"> rental income levels </w:t>
      </w:r>
      <w:r w:rsidRPr="00EA4A07">
        <w:rPr>
          <w:rFonts w:ascii="Arial" w:hAnsi="Arial" w:cs="Arial"/>
          <w:sz w:val="24"/>
          <w:szCs w:val="24"/>
        </w:rPr>
        <w:t xml:space="preserve">in the </w:t>
      </w:r>
      <w:r w:rsidR="004D1F1E" w:rsidRPr="00EA4A07">
        <w:rPr>
          <w:rFonts w:ascii="Arial" w:hAnsi="Arial" w:cs="Arial"/>
          <w:sz w:val="24"/>
          <w:szCs w:val="24"/>
        </w:rPr>
        <w:t>Borough of Tunbridge Wells</w:t>
      </w:r>
      <w:r w:rsidRPr="00EA4A07">
        <w:rPr>
          <w:rFonts w:ascii="Arial" w:hAnsi="Arial" w:cs="Arial"/>
          <w:sz w:val="24"/>
          <w:szCs w:val="24"/>
        </w:rPr>
        <w:t xml:space="preserve"> and </w:t>
      </w:r>
      <w:r w:rsidR="004D1F1E" w:rsidRPr="00EA4A07">
        <w:rPr>
          <w:rFonts w:ascii="Arial" w:hAnsi="Arial" w:cs="Arial"/>
          <w:sz w:val="24"/>
          <w:szCs w:val="24"/>
        </w:rPr>
        <w:t>an upper limit of £30,000 being</w:t>
      </w:r>
      <w:r w:rsidRPr="00EA4A07">
        <w:rPr>
          <w:rFonts w:ascii="Arial" w:hAnsi="Arial" w:cs="Arial"/>
          <w:sz w:val="24"/>
          <w:szCs w:val="24"/>
        </w:rPr>
        <w:t xml:space="preserve"> associated with any civil penalty action, it is unlikely that perpetrators with multiple properties will be able to demonstrate financial hardship.</w:t>
      </w:r>
      <w:r w:rsidR="00C01A65">
        <w:rPr>
          <w:rFonts w:ascii="Arial" w:hAnsi="Arial" w:cs="Arial"/>
          <w:sz w:val="24"/>
          <w:szCs w:val="24"/>
        </w:rPr>
        <w:t xml:space="preserve">  </w:t>
      </w:r>
    </w:p>
    <w:p w:rsidR="006C7711" w:rsidRDefault="004576B6" w:rsidP="00D82022">
      <w:pPr>
        <w:rPr>
          <w:rFonts w:ascii="Arial" w:hAnsi="Arial" w:cs="Arial"/>
          <w:sz w:val="24"/>
          <w:szCs w:val="24"/>
        </w:rPr>
      </w:pPr>
      <w:r>
        <w:rPr>
          <w:rFonts w:ascii="Arial" w:hAnsi="Arial" w:cs="Arial"/>
          <w:sz w:val="24"/>
          <w:szCs w:val="24"/>
        </w:rPr>
        <w:t>Income from Civil Penalties</w:t>
      </w:r>
    </w:p>
    <w:p w:rsidR="00D676A6" w:rsidRDefault="004576B6" w:rsidP="00D82022">
      <w:pPr>
        <w:rPr>
          <w:rFonts w:ascii="Arial" w:hAnsi="Arial" w:cs="Arial"/>
          <w:sz w:val="24"/>
          <w:szCs w:val="24"/>
        </w:rPr>
      </w:pPr>
      <w:r w:rsidRPr="004576B6">
        <w:rPr>
          <w:rFonts w:ascii="Arial" w:hAnsi="Arial" w:cs="Arial"/>
          <w:sz w:val="24"/>
          <w:szCs w:val="24"/>
        </w:rPr>
        <w:t>Any income received from civil penalties will be</w:t>
      </w:r>
      <w:r>
        <w:rPr>
          <w:rFonts w:ascii="Arial" w:hAnsi="Arial" w:cs="Arial"/>
          <w:sz w:val="24"/>
          <w:szCs w:val="24"/>
        </w:rPr>
        <w:t xml:space="preserve"> r</w:t>
      </w:r>
      <w:r w:rsidR="00C01A65">
        <w:rPr>
          <w:rFonts w:ascii="Arial" w:hAnsi="Arial" w:cs="Arial"/>
          <w:sz w:val="24"/>
          <w:szCs w:val="24"/>
        </w:rPr>
        <w:t>e</w:t>
      </w:r>
      <w:r>
        <w:rPr>
          <w:rFonts w:ascii="Arial" w:hAnsi="Arial" w:cs="Arial"/>
          <w:sz w:val="24"/>
          <w:szCs w:val="24"/>
        </w:rPr>
        <w:t>tained and</w:t>
      </w:r>
      <w:r w:rsidRPr="004576B6">
        <w:rPr>
          <w:rFonts w:ascii="Arial" w:hAnsi="Arial" w:cs="Arial"/>
          <w:sz w:val="24"/>
          <w:szCs w:val="24"/>
        </w:rPr>
        <w:t xml:space="preserve"> used, in accordance with regulations, to further the Council’s enforcement activities covering the private rented sector.</w:t>
      </w:r>
    </w:p>
    <w:p w:rsidR="00A4083F" w:rsidRDefault="00A4083F" w:rsidP="00D82022">
      <w:pPr>
        <w:rPr>
          <w:rFonts w:ascii="Arial" w:hAnsi="Arial" w:cs="Arial"/>
          <w:sz w:val="24"/>
          <w:szCs w:val="24"/>
        </w:rPr>
      </w:pPr>
      <w:r>
        <w:rPr>
          <w:rFonts w:ascii="Arial" w:hAnsi="Arial" w:cs="Arial"/>
          <w:sz w:val="24"/>
          <w:szCs w:val="24"/>
        </w:rPr>
        <w:t>Contact and Complaints</w:t>
      </w:r>
      <w:r>
        <w:rPr>
          <w:rFonts w:ascii="Arial" w:hAnsi="Arial" w:cs="Arial"/>
          <w:sz w:val="24"/>
          <w:szCs w:val="24"/>
        </w:rPr>
        <w:br/>
        <w:t xml:space="preserve">If you require any further information or </w:t>
      </w:r>
      <w:r w:rsidR="00B3612D">
        <w:rPr>
          <w:rFonts w:ascii="Arial" w:hAnsi="Arial" w:cs="Arial"/>
          <w:sz w:val="24"/>
          <w:szCs w:val="24"/>
        </w:rPr>
        <w:t>clarification on the</w:t>
      </w:r>
      <w:r w:rsidR="00542D8E">
        <w:rPr>
          <w:rFonts w:ascii="Arial" w:hAnsi="Arial" w:cs="Arial"/>
          <w:sz w:val="24"/>
          <w:szCs w:val="24"/>
        </w:rPr>
        <w:t xml:space="preserve"> civil penalty</w:t>
      </w:r>
      <w:r w:rsidR="00B3612D">
        <w:rPr>
          <w:rFonts w:ascii="Arial" w:hAnsi="Arial" w:cs="Arial"/>
          <w:sz w:val="24"/>
          <w:szCs w:val="24"/>
        </w:rPr>
        <w:t xml:space="preserve"> process</w:t>
      </w:r>
      <w:r>
        <w:rPr>
          <w:rFonts w:ascii="Arial" w:hAnsi="Arial" w:cs="Arial"/>
          <w:sz w:val="24"/>
          <w:szCs w:val="24"/>
        </w:rPr>
        <w:t xml:space="preserve"> the case officer</w:t>
      </w:r>
      <w:r w:rsidR="00542D8E">
        <w:rPr>
          <w:rFonts w:ascii="Arial" w:hAnsi="Arial" w:cs="Arial"/>
          <w:sz w:val="24"/>
          <w:szCs w:val="24"/>
        </w:rPr>
        <w:t xml:space="preserve"> will be able to assist</w:t>
      </w:r>
      <w:r>
        <w:rPr>
          <w:rFonts w:ascii="Arial" w:hAnsi="Arial" w:cs="Arial"/>
          <w:sz w:val="24"/>
          <w:szCs w:val="24"/>
        </w:rPr>
        <w:t>. If</w:t>
      </w:r>
      <w:r w:rsidR="00B3612D">
        <w:rPr>
          <w:rFonts w:ascii="Arial" w:hAnsi="Arial" w:cs="Arial"/>
          <w:sz w:val="24"/>
          <w:szCs w:val="24"/>
        </w:rPr>
        <w:t xml:space="preserve"> after speaking with the case officer</w:t>
      </w:r>
      <w:r w:rsidR="00542D8E">
        <w:rPr>
          <w:rFonts w:ascii="Arial" w:hAnsi="Arial" w:cs="Arial"/>
          <w:sz w:val="24"/>
          <w:szCs w:val="24"/>
        </w:rPr>
        <w:t>,</w:t>
      </w:r>
      <w:r w:rsidR="00B3612D">
        <w:rPr>
          <w:rFonts w:ascii="Arial" w:hAnsi="Arial" w:cs="Arial"/>
          <w:sz w:val="24"/>
          <w:szCs w:val="24"/>
        </w:rPr>
        <w:t xml:space="preserve"> you wish for further clarification or </w:t>
      </w:r>
      <w:r>
        <w:rPr>
          <w:rFonts w:ascii="Arial" w:hAnsi="Arial" w:cs="Arial"/>
          <w:sz w:val="24"/>
          <w:szCs w:val="24"/>
        </w:rPr>
        <w:t>make a complaint then you should</w:t>
      </w:r>
      <w:r w:rsidR="00B3612D">
        <w:rPr>
          <w:rFonts w:ascii="Arial" w:hAnsi="Arial" w:cs="Arial"/>
          <w:sz w:val="24"/>
          <w:szCs w:val="24"/>
        </w:rPr>
        <w:t xml:space="preserve"> </w:t>
      </w:r>
      <w:r>
        <w:rPr>
          <w:rFonts w:ascii="Arial" w:hAnsi="Arial" w:cs="Arial"/>
          <w:sz w:val="24"/>
          <w:szCs w:val="24"/>
        </w:rPr>
        <w:t>contact the Private Sector Housing Manager</w:t>
      </w:r>
      <w:r w:rsidR="00F521BE">
        <w:rPr>
          <w:rFonts w:ascii="Arial" w:hAnsi="Arial" w:cs="Arial"/>
          <w:sz w:val="24"/>
          <w:szCs w:val="24"/>
        </w:rPr>
        <w:t>. Private Sector Housing can be contacted</w:t>
      </w:r>
      <w:r>
        <w:rPr>
          <w:rFonts w:ascii="Arial" w:hAnsi="Arial" w:cs="Arial"/>
          <w:sz w:val="24"/>
          <w:szCs w:val="24"/>
        </w:rPr>
        <w:t xml:space="preserve"> on 01892 554241 or </w:t>
      </w:r>
      <w:hyperlink r:id="rId12" w:history="1">
        <w:r w:rsidR="00B3612D" w:rsidRPr="00642875">
          <w:rPr>
            <w:rStyle w:val="Hyperlink"/>
            <w:rFonts w:ascii="Arial" w:hAnsi="Arial" w:cs="Arial"/>
            <w:sz w:val="24"/>
            <w:szCs w:val="24"/>
          </w:rPr>
          <w:t>HousingRenewal@tunbridgewells.gov.uk</w:t>
        </w:r>
      </w:hyperlink>
    </w:p>
    <w:p w:rsidR="00B3612D" w:rsidRDefault="00B3612D" w:rsidP="00D82022">
      <w:pPr>
        <w:rPr>
          <w:rFonts w:ascii="Arial" w:hAnsi="Arial" w:cs="Arial"/>
          <w:sz w:val="24"/>
          <w:szCs w:val="24"/>
        </w:rPr>
      </w:pPr>
    </w:p>
    <w:p w:rsidR="007E3D16" w:rsidRDefault="007E3D16" w:rsidP="00D82022">
      <w:pPr>
        <w:rPr>
          <w:rFonts w:ascii="Arial" w:hAnsi="Arial" w:cs="Arial"/>
          <w:sz w:val="24"/>
          <w:szCs w:val="24"/>
        </w:rPr>
      </w:pPr>
    </w:p>
    <w:p w:rsidR="00363D4D" w:rsidRDefault="00363D4D">
      <w:pPr>
        <w:rPr>
          <w:rFonts w:ascii="Arial" w:hAnsi="Arial" w:cs="Arial"/>
          <w:sz w:val="24"/>
          <w:szCs w:val="24"/>
        </w:rPr>
      </w:pPr>
      <w:r>
        <w:rPr>
          <w:rFonts w:ascii="Arial" w:hAnsi="Arial" w:cs="Arial"/>
          <w:sz w:val="24"/>
          <w:szCs w:val="24"/>
        </w:rPr>
        <w:lastRenderedPageBreak/>
        <w:br w:type="page"/>
      </w:r>
    </w:p>
    <w:p w:rsidR="0075352D" w:rsidRDefault="0075352D" w:rsidP="00D82022">
      <w:pPr>
        <w:rPr>
          <w:rFonts w:ascii="Arial" w:hAnsi="Arial" w:cs="Arial"/>
          <w:sz w:val="24"/>
          <w:szCs w:val="24"/>
        </w:rPr>
        <w:sectPr w:rsidR="0075352D" w:rsidSect="0075352D">
          <w:headerReference w:type="default" r:id="rId13"/>
          <w:pgSz w:w="11906" w:h="16838"/>
          <w:pgMar w:top="1440" w:right="1440" w:bottom="1440" w:left="1440" w:header="708" w:footer="708" w:gutter="0"/>
          <w:cols w:space="708"/>
          <w:docGrid w:linePitch="360"/>
        </w:sectPr>
      </w:pPr>
    </w:p>
    <w:p w:rsidR="003B653C" w:rsidRPr="00EA4A07" w:rsidRDefault="003B653C" w:rsidP="00D82022">
      <w:pPr>
        <w:rPr>
          <w:rFonts w:ascii="Arial" w:hAnsi="Arial" w:cs="Arial"/>
          <w:sz w:val="24"/>
          <w:szCs w:val="24"/>
        </w:rPr>
      </w:pPr>
      <w:r>
        <w:rPr>
          <w:rFonts w:ascii="Arial" w:hAnsi="Arial" w:cs="Arial"/>
          <w:sz w:val="24"/>
          <w:szCs w:val="24"/>
        </w:rPr>
        <w:lastRenderedPageBreak/>
        <w:t>Appendix A – Civil Penalty Matrix</w:t>
      </w:r>
    </w:p>
    <w:tbl>
      <w:tblPr>
        <w:tblStyle w:val="TableGrid"/>
        <w:tblW w:w="0" w:type="auto"/>
        <w:tblLook w:val="04A0" w:firstRow="1" w:lastRow="0" w:firstColumn="1" w:lastColumn="0" w:noHBand="0" w:noVBand="1"/>
      </w:tblPr>
      <w:tblGrid>
        <w:gridCol w:w="2024"/>
        <w:gridCol w:w="2025"/>
        <w:gridCol w:w="2025"/>
        <w:gridCol w:w="2398"/>
        <w:gridCol w:w="2126"/>
        <w:gridCol w:w="2268"/>
        <w:gridCol w:w="1308"/>
      </w:tblGrid>
      <w:tr w:rsidR="009658F6" w:rsidTr="003111C8">
        <w:tc>
          <w:tcPr>
            <w:tcW w:w="2024" w:type="dxa"/>
          </w:tcPr>
          <w:p w:rsidR="009658F6" w:rsidRPr="00FF539C" w:rsidRDefault="009658F6" w:rsidP="003111C8">
            <w:pPr>
              <w:rPr>
                <w:b/>
              </w:rPr>
            </w:pPr>
            <w:r>
              <w:rPr>
                <w:b/>
              </w:rPr>
              <w:t>Factors</w:t>
            </w:r>
          </w:p>
        </w:tc>
        <w:tc>
          <w:tcPr>
            <w:tcW w:w="2025" w:type="dxa"/>
          </w:tcPr>
          <w:p w:rsidR="009658F6" w:rsidRPr="00FF539C" w:rsidRDefault="009658F6" w:rsidP="003111C8">
            <w:pPr>
              <w:rPr>
                <w:b/>
              </w:rPr>
            </w:pPr>
            <w:r w:rsidRPr="00FF539C">
              <w:rPr>
                <w:b/>
              </w:rPr>
              <w:t>Score = 1</w:t>
            </w:r>
          </w:p>
        </w:tc>
        <w:tc>
          <w:tcPr>
            <w:tcW w:w="2025" w:type="dxa"/>
          </w:tcPr>
          <w:p w:rsidR="009658F6" w:rsidRPr="00FF539C" w:rsidRDefault="009658F6" w:rsidP="003111C8">
            <w:pPr>
              <w:rPr>
                <w:b/>
              </w:rPr>
            </w:pPr>
            <w:r>
              <w:rPr>
                <w:b/>
              </w:rPr>
              <w:t>Score = 5</w:t>
            </w:r>
          </w:p>
        </w:tc>
        <w:tc>
          <w:tcPr>
            <w:tcW w:w="2398" w:type="dxa"/>
          </w:tcPr>
          <w:p w:rsidR="009658F6" w:rsidRPr="00FF539C" w:rsidRDefault="009658F6" w:rsidP="003111C8">
            <w:pPr>
              <w:rPr>
                <w:b/>
              </w:rPr>
            </w:pPr>
            <w:r>
              <w:rPr>
                <w:b/>
              </w:rPr>
              <w:t>Score = 10</w:t>
            </w:r>
          </w:p>
        </w:tc>
        <w:tc>
          <w:tcPr>
            <w:tcW w:w="2126" w:type="dxa"/>
          </w:tcPr>
          <w:p w:rsidR="009658F6" w:rsidRPr="00FF539C" w:rsidRDefault="009658F6" w:rsidP="003111C8">
            <w:pPr>
              <w:rPr>
                <w:b/>
              </w:rPr>
            </w:pPr>
            <w:r w:rsidRPr="00FF539C">
              <w:rPr>
                <w:b/>
              </w:rPr>
              <w:t>Score = 15</w:t>
            </w:r>
          </w:p>
        </w:tc>
        <w:tc>
          <w:tcPr>
            <w:tcW w:w="2268" w:type="dxa"/>
          </w:tcPr>
          <w:p w:rsidR="009658F6" w:rsidRPr="00FF539C" w:rsidRDefault="009658F6" w:rsidP="003111C8">
            <w:pPr>
              <w:rPr>
                <w:b/>
              </w:rPr>
            </w:pPr>
            <w:r w:rsidRPr="00FF539C">
              <w:rPr>
                <w:b/>
              </w:rPr>
              <w:t>Score = 20</w:t>
            </w:r>
          </w:p>
        </w:tc>
        <w:tc>
          <w:tcPr>
            <w:tcW w:w="1308" w:type="dxa"/>
          </w:tcPr>
          <w:p w:rsidR="009658F6" w:rsidRPr="00FF539C" w:rsidRDefault="009658F6" w:rsidP="003111C8">
            <w:pPr>
              <w:rPr>
                <w:b/>
              </w:rPr>
            </w:pPr>
            <w:r>
              <w:rPr>
                <w:b/>
              </w:rPr>
              <w:t>Total</w:t>
            </w:r>
          </w:p>
        </w:tc>
      </w:tr>
      <w:tr w:rsidR="009658F6" w:rsidRPr="003B653C" w:rsidTr="003111C8">
        <w:tc>
          <w:tcPr>
            <w:tcW w:w="2024" w:type="dxa"/>
          </w:tcPr>
          <w:p w:rsidR="009658F6" w:rsidRPr="00A770A5" w:rsidRDefault="009658F6" w:rsidP="003111C8">
            <w:pPr>
              <w:rPr>
                <w:rFonts w:ascii="Arial" w:hAnsi="Arial" w:cs="Arial"/>
                <w:b/>
                <w:sz w:val="16"/>
                <w:szCs w:val="16"/>
              </w:rPr>
            </w:pPr>
            <w:r w:rsidRPr="00A770A5">
              <w:rPr>
                <w:rFonts w:ascii="Arial" w:hAnsi="Arial" w:cs="Arial"/>
                <w:b/>
                <w:sz w:val="16"/>
                <w:szCs w:val="16"/>
              </w:rPr>
              <w:t>1 – deterrence &amp; prevention (pick only one box to the right)</w:t>
            </w:r>
          </w:p>
        </w:tc>
        <w:tc>
          <w:tcPr>
            <w:tcW w:w="2025" w:type="dxa"/>
          </w:tcPr>
          <w:p w:rsidR="009658F6" w:rsidRPr="00A770A5" w:rsidRDefault="009658F6" w:rsidP="003111C8">
            <w:pPr>
              <w:rPr>
                <w:rFonts w:ascii="Arial" w:hAnsi="Arial" w:cs="Arial"/>
                <w:sz w:val="16"/>
                <w:szCs w:val="16"/>
              </w:rPr>
            </w:pPr>
            <w:r w:rsidRPr="00A770A5">
              <w:rPr>
                <w:rFonts w:ascii="Arial" w:hAnsi="Arial" w:cs="Arial"/>
                <w:sz w:val="16"/>
                <w:szCs w:val="16"/>
              </w:rPr>
              <w:t>High confidence that a financial penalt</w:t>
            </w:r>
            <w:r w:rsidR="00D631C4" w:rsidRPr="00A770A5">
              <w:rPr>
                <w:rFonts w:ascii="Arial" w:hAnsi="Arial" w:cs="Arial"/>
                <w:sz w:val="16"/>
                <w:szCs w:val="16"/>
              </w:rPr>
              <w:t>y will deter repeat offending.</w:t>
            </w:r>
          </w:p>
        </w:tc>
        <w:tc>
          <w:tcPr>
            <w:tcW w:w="2025" w:type="dxa"/>
          </w:tcPr>
          <w:p w:rsidR="009658F6" w:rsidRPr="00A770A5" w:rsidRDefault="009658F6" w:rsidP="003111C8">
            <w:pPr>
              <w:rPr>
                <w:rFonts w:ascii="Arial" w:hAnsi="Arial" w:cs="Arial"/>
                <w:sz w:val="16"/>
                <w:szCs w:val="16"/>
              </w:rPr>
            </w:pPr>
            <w:r w:rsidRPr="00A770A5">
              <w:rPr>
                <w:rFonts w:ascii="Arial" w:hAnsi="Arial" w:cs="Arial"/>
                <w:sz w:val="16"/>
                <w:szCs w:val="16"/>
              </w:rPr>
              <w:t>Medium confidence that a financial penalt</w:t>
            </w:r>
            <w:r w:rsidR="00D631C4" w:rsidRPr="00A770A5">
              <w:rPr>
                <w:rFonts w:ascii="Arial" w:hAnsi="Arial" w:cs="Arial"/>
                <w:sz w:val="16"/>
                <w:szCs w:val="16"/>
              </w:rPr>
              <w:t>y will deter repeat offending.</w:t>
            </w:r>
          </w:p>
        </w:tc>
        <w:tc>
          <w:tcPr>
            <w:tcW w:w="2398" w:type="dxa"/>
          </w:tcPr>
          <w:p w:rsidR="009658F6" w:rsidRPr="00A770A5" w:rsidRDefault="009658F6" w:rsidP="003111C8">
            <w:pPr>
              <w:rPr>
                <w:rFonts w:ascii="Arial" w:hAnsi="Arial" w:cs="Arial"/>
                <w:sz w:val="16"/>
                <w:szCs w:val="16"/>
              </w:rPr>
            </w:pPr>
            <w:r w:rsidRPr="00A770A5">
              <w:rPr>
                <w:rFonts w:ascii="Arial" w:hAnsi="Arial" w:cs="Arial"/>
                <w:sz w:val="16"/>
                <w:szCs w:val="16"/>
              </w:rPr>
              <w:t>Low confidence that a financial penalty will deter repeat offending (e</w:t>
            </w:r>
            <w:r w:rsidR="00D631C4" w:rsidRPr="00A770A5">
              <w:rPr>
                <w:rFonts w:ascii="Arial" w:hAnsi="Arial" w:cs="Arial"/>
                <w:sz w:val="16"/>
                <w:szCs w:val="16"/>
              </w:rPr>
              <w:t>.g. no contact from offender).</w:t>
            </w:r>
            <w:r w:rsidRPr="00A770A5">
              <w:rPr>
                <w:rFonts w:ascii="Arial" w:hAnsi="Arial" w:cs="Arial"/>
                <w:sz w:val="16"/>
                <w:szCs w:val="16"/>
              </w:rPr>
              <w:t xml:space="preserve"> </w:t>
            </w:r>
          </w:p>
        </w:tc>
        <w:tc>
          <w:tcPr>
            <w:tcW w:w="2126" w:type="dxa"/>
          </w:tcPr>
          <w:p w:rsidR="009658F6" w:rsidRPr="00A770A5" w:rsidRDefault="009658F6" w:rsidP="003111C8">
            <w:pPr>
              <w:rPr>
                <w:rFonts w:ascii="Arial" w:hAnsi="Arial" w:cs="Arial"/>
                <w:sz w:val="16"/>
                <w:szCs w:val="16"/>
              </w:rPr>
            </w:pPr>
            <w:r w:rsidRPr="00A770A5">
              <w:rPr>
                <w:rFonts w:ascii="Arial" w:hAnsi="Arial" w:cs="Arial"/>
                <w:sz w:val="16"/>
                <w:szCs w:val="16"/>
              </w:rPr>
              <w:t>Little confidence that a financial penalt</w:t>
            </w:r>
            <w:r w:rsidR="00D631C4" w:rsidRPr="00A770A5">
              <w:rPr>
                <w:rFonts w:ascii="Arial" w:hAnsi="Arial" w:cs="Arial"/>
                <w:sz w:val="16"/>
                <w:szCs w:val="16"/>
              </w:rPr>
              <w:t>y will deter repeat offending.</w:t>
            </w:r>
          </w:p>
        </w:tc>
        <w:tc>
          <w:tcPr>
            <w:tcW w:w="2268" w:type="dxa"/>
          </w:tcPr>
          <w:p w:rsidR="009658F6" w:rsidRPr="00A770A5" w:rsidRDefault="009658F6" w:rsidP="003111C8">
            <w:pPr>
              <w:rPr>
                <w:rFonts w:ascii="Arial" w:hAnsi="Arial" w:cs="Arial"/>
                <w:sz w:val="16"/>
                <w:szCs w:val="16"/>
              </w:rPr>
            </w:pPr>
            <w:r w:rsidRPr="00A770A5">
              <w:rPr>
                <w:rFonts w:ascii="Arial" w:hAnsi="Arial" w:cs="Arial"/>
                <w:sz w:val="16"/>
                <w:szCs w:val="16"/>
              </w:rPr>
              <w:t>Very little confidence that a financial penalt</w:t>
            </w:r>
            <w:r w:rsidR="00D631C4" w:rsidRPr="00A770A5">
              <w:rPr>
                <w:rFonts w:ascii="Arial" w:hAnsi="Arial" w:cs="Arial"/>
                <w:sz w:val="16"/>
                <w:szCs w:val="16"/>
              </w:rPr>
              <w:t>y will deter repeat offending.</w:t>
            </w:r>
          </w:p>
          <w:p w:rsidR="009658F6" w:rsidRPr="00A770A5" w:rsidRDefault="009658F6" w:rsidP="003111C8">
            <w:pPr>
              <w:rPr>
                <w:rFonts w:ascii="Arial" w:hAnsi="Arial" w:cs="Arial"/>
                <w:sz w:val="16"/>
                <w:szCs w:val="16"/>
              </w:rPr>
            </w:pPr>
          </w:p>
        </w:tc>
        <w:tc>
          <w:tcPr>
            <w:tcW w:w="1308" w:type="dxa"/>
          </w:tcPr>
          <w:p w:rsidR="009658F6" w:rsidRPr="00A770A5" w:rsidRDefault="009658F6" w:rsidP="003111C8">
            <w:pPr>
              <w:rPr>
                <w:rFonts w:ascii="Arial" w:hAnsi="Arial" w:cs="Arial"/>
                <w:sz w:val="16"/>
                <w:szCs w:val="16"/>
              </w:rPr>
            </w:pPr>
          </w:p>
        </w:tc>
      </w:tr>
      <w:tr w:rsidR="009658F6" w:rsidRPr="003B653C" w:rsidTr="003111C8">
        <w:tc>
          <w:tcPr>
            <w:tcW w:w="2024" w:type="dxa"/>
          </w:tcPr>
          <w:p w:rsidR="009658F6" w:rsidRPr="00A770A5" w:rsidRDefault="009658F6" w:rsidP="003111C8">
            <w:pPr>
              <w:rPr>
                <w:rFonts w:ascii="Arial" w:hAnsi="Arial" w:cs="Arial"/>
                <w:b/>
                <w:sz w:val="16"/>
                <w:szCs w:val="16"/>
              </w:rPr>
            </w:pPr>
            <w:r w:rsidRPr="00A770A5">
              <w:rPr>
                <w:rFonts w:ascii="Arial" w:hAnsi="Arial" w:cs="Arial"/>
                <w:b/>
                <w:sz w:val="16"/>
                <w:szCs w:val="16"/>
              </w:rPr>
              <w:t>2 - Removal of Financial Incentive (pick only one box to the right)</w:t>
            </w:r>
          </w:p>
        </w:tc>
        <w:tc>
          <w:tcPr>
            <w:tcW w:w="2025" w:type="dxa"/>
          </w:tcPr>
          <w:p w:rsidR="009658F6" w:rsidRPr="00A770A5" w:rsidRDefault="009658F6" w:rsidP="003111C8">
            <w:pPr>
              <w:rPr>
                <w:rFonts w:ascii="Arial" w:hAnsi="Arial" w:cs="Arial"/>
                <w:sz w:val="16"/>
                <w:szCs w:val="16"/>
              </w:rPr>
            </w:pPr>
            <w:r w:rsidRPr="00A770A5">
              <w:rPr>
                <w:rFonts w:ascii="Arial" w:hAnsi="Arial" w:cs="Arial"/>
                <w:sz w:val="16"/>
                <w:szCs w:val="16"/>
              </w:rPr>
              <w:t>No significant assets.</w:t>
            </w:r>
          </w:p>
          <w:p w:rsidR="009658F6" w:rsidRPr="00A770A5" w:rsidRDefault="009658F6" w:rsidP="003111C8">
            <w:pPr>
              <w:rPr>
                <w:rFonts w:ascii="Arial" w:hAnsi="Arial" w:cs="Arial"/>
                <w:sz w:val="16"/>
                <w:szCs w:val="16"/>
              </w:rPr>
            </w:pPr>
            <w:r w:rsidRPr="00A770A5">
              <w:rPr>
                <w:rFonts w:ascii="Arial" w:hAnsi="Arial" w:cs="Arial"/>
                <w:sz w:val="16"/>
                <w:szCs w:val="16"/>
              </w:rPr>
              <w:t>No or very low fina</w:t>
            </w:r>
            <w:r w:rsidR="00D631C4" w:rsidRPr="00A770A5">
              <w:rPr>
                <w:rFonts w:ascii="Arial" w:hAnsi="Arial" w:cs="Arial"/>
                <w:sz w:val="16"/>
                <w:szCs w:val="16"/>
              </w:rPr>
              <w:t>ncial profit made by offender.</w:t>
            </w:r>
          </w:p>
        </w:tc>
        <w:tc>
          <w:tcPr>
            <w:tcW w:w="2025" w:type="dxa"/>
          </w:tcPr>
          <w:p w:rsidR="009658F6" w:rsidRPr="00A770A5" w:rsidRDefault="009658F6" w:rsidP="003111C8">
            <w:pPr>
              <w:rPr>
                <w:rFonts w:ascii="Arial" w:hAnsi="Arial" w:cs="Arial"/>
                <w:sz w:val="16"/>
                <w:szCs w:val="16"/>
              </w:rPr>
            </w:pPr>
            <w:r w:rsidRPr="00A770A5">
              <w:rPr>
                <w:rFonts w:ascii="Arial" w:hAnsi="Arial" w:cs="Arial"/>
                <w:sz w:val="16"/>
                <w:szCs w:val="16"/>
              </w:rPr>
              <w:t>Little asset value.</w:t>
            </w:r>
          </w:p>
          <w:p w:rsidR="009658F6" w:rsidRPr="00A770A5" w:rsidRDefault="009658F6" w:rsidP="003111C8">
            <w:pPr>
              <w:rPr>
                <w:rFonts w:ascii="Arial" w:hAnsi="Arial" w:cs="Arial"/>
                <w:sz w:val="16"/>
                <w:szCs w:val="16"/>
              </w:rPr>
            </w:pPr>
            <w:r w:rsidRPr="00A770A5">
              <w:rPr>
                <w:rFonts w:ascii="Arial" w:hAnsi="Arial" w:cs="Arial"/>
                <w:sz w:val="16"/>
                <w:szCs w:val="16"/>
              </w:rPr>
              <w:t>Little profit made by offender.</w:t>
            </w:r>
          </w:p>
        </w:tc>
        <w:tc>
          <w:tcPr>
            <w:tcW w:w="2398" w:type="dxa"/>
          </w:tcPr>
          <w:p w:rsidR="009658F6" w:rsidRPr="00A770A5" w:rsidRDefault="009658F6" w:rsidP="003111C8">
            <w:pPr>
              <w:rPr>
                <w:rFonts w:ascii="Arial" w:hAnsi="Arial" w:cs="Arial"/>
                <w:sz w:val="16"/>
                <w:szCs w:val="16"/>
              </w:rPr>
            </w:pPr>
            <w:r w:rsidRPr="00A770A5">
              <w:rPr>
                <w:rFonts w:ascii="Arial" w:hAnsi="Arial" w:cs="Arial"/>
                <w:sz w:val="16"/>
                <w:szCs w:val="16"/>
              </w:rPr>
              <w:t xml:space="preserve">Small portfolio landlord </w:t>
            </w:r>
          </w:p>
          <w:p w:rsidR="009658F6" w:rsidRPr="00A770A5" w:rsidRDefault="009658F6" w:rsidP="003111C8">
            <w:pPr>
              <w:rPr>
                <w:rFonts w:ascii="Arial" w:hAnsi="Arial" w:cs="Arial"/>
                <w:sz w:val="16"/>
                <w:szCs w:val="16"/>
              </w:rPr>
            </w:pPr>
            <w:r w:rsidRPr="00A770A5">
              <w:rPr>
                <w:rFonts w:ascii="Arial" w:hAnsi="Arial" w:cs="Arial"/>
                <w:sz w:val="16"/>
                <w:szCs w:val="16"/>
              </w:rPr>
              <w:t xml:space="preserve"> (2 – 3 properties).</w:t>
            </w:r>
          </w:p>
          <w:p w:rsidR="009658F6" w:rsidRPr="00A770A5" w:rsidRDefault="009658F6" w:rsidP="003111C8">
            <w:pPr>
              <w:rPr>
                <w:rFonts w:ascii="Arial" w:hAnsi="Arial" w:cs="Arial"/>
                <w:sz w:val="16"/>
                <w:szCs w:val="16"/>
              </w:rPr>
            </w:pPr>
            <w:r w:rsidRPr="00A770A5">
              <w:rPr>
                <w:rFonts w:ascii="Arial" w:hAnsi="Arial" w:cs="Arial"/>
                <w:sz w:val="16"/>
                <w:szCs w:val="16"/>
              </w:rPr>
              <w:t>Low asset value.</w:t>
            </w:r>
          </w:p>
          <w:p w:rsidR="009658F6" w:rsidRPr="00A770A5" w:rsidRDefault="00D631C4" w:rsidP="003111C8">
            <w:pPr>
              <w:rPr>
                <w:rFonts w:ascii="Arial" w:hAnsi="Arial" w:cs="Arial"/>
                <w:sz w:val="16"/>
                <w:szCs w:val="16"/>
              </w:rPr>
            </w:pPr>
            <w:r w:rsidRPr="00A770A5">
              <w:rPr>
                <w:rFonts w:ascii="Arial" w:hAnsi="Arial" w:cs="Arial"/>
                <w:sz w:val="16"/>
                <w:szCs w:val="16"/>
              </w:rPr>
              <w:t>Low profit made by offender.</w:t>
            </w:r>
          </w:p>
        </w:tc>
        <w:tc>
          <w:tcPr>
            <w:tcW w:w="2126" w:type="dxa"/>
          </w:tcPr>
          <w:p w:rsidR="009658F6" w:rsidRPr="00A770A5" w:rsidRDefault="009658F6" w:rsidP="003111C8">
            <w:pPr>
              <w:rPr>
                <w:rFonts w:ascii="Arial" w:hAnsi="Arial" w:cs="Arial"/>
                <w:sz w:val="16"/>
                <w:szCs w:val="16"/>
              </w:rPr>
            </w:pPr>
            <w:r w:rsidRPr="00A770A5">
              <w:rPr>
                <w:rFonts w:ascii="Arial" w:hAnsi="Arial" w:cs="Arial"/>
                <w:sz w:val="16"/>
                <w:szCs w:val="16"/>
              </w:rPr>
              <w:t>Medium portfolio landlord (4 – 5 properties) or a small managing agent.</w:t>
            </w:r>
          </w:p>
          <w:p w:rsidR="009658F6" w:rsidRPr="00A770A5" w:rsidRDefault="009658F6" w:rsidP="003111C8">
            <w:pPr>
              <w:rPr>
                <w:rFonts w:ascii="Arial" w:hAnsi="Arial" w:cs="Arial"/>
                <w:sz w:val="16"/>
                <w:szCs w:val="16"/>
              </w:rPr>
            </w:pPr>
            <w:r w:rsidRPr="00A770A5">
              <w:rPr>
                <w:rFonts w:ascii="Arial" w:hAnsi="Arial" w:cs="Arial"/>
                <w:sz w:val="16"/>
                <w:szCs w:val="16"/>
              </w:rPr>
              <w:t>Medium asset value.</w:t>
            </w:r>
          </w:p>
          <w:p w:rsidR="009658F6" w:rsidRPr="00A770A5" w:rsidRDefault="009658F6" w:rsidP="003111C8">
            <w:pPr>
              <w:rPr>
                <w:rFonts w:ascii="Arial" w:hAnsi="Arial" w:cs="Arial"/>
                <w:sz w:val="16"/>
                <w:szCs w:val="16"/>
              </w:rPr>
            </w:pPr>
            <w:r w:rsidRPr="00A770A5">
              <w:rPr>
                <w:rFonts w:ascii="Arial" w:hAnsi="Arial" w:cs="Arial"/>
                <w:sz w:val="16"/>
                <w:szCs w:val="16"/>
              </w:rPr>
              <w:t>M</w:t>
            </w:r>
            <w:r w:rsidR="00D631C4" w:rsidRPr="00A770A5">
              <w:rPr>
                <w:rFonts w:ascii="Arial" w:hAnsi="Arial" w:cs="Arial"/>
                <w:sz w:val="16"/>
                <w:szCs w:val="16"/>
              </w:rPr>
              <w:t>edium profit made by offender.</w:t>
            </w:r>
          </w:p>
        </w:tc>
        <w:tc>
          <w:tcPr>
            <w:tcW w:w="2268" w:type="dxa"/>
          </w:tcPr>
          <w:p w:rsidR="009658F6" w:rsidRPr="00A770A5" w:rsidRDefault="009658F6" w:rsidP="003111C8">
            <w:pPr>
              <w:rPr>
                <w:rFonts w:ascii="Arial" w:hAnsi="Arial" w:cs="Arial"/>
                <w:sz w:val="16"/>
                <w:szCs w:val="16"/>
              </w:rPr>
            </w:pPr>
            <w:r w:rsidRPr="00A770A5">
              <w:rPr>
                <w:rFonts w:ascii="Arial" w:hAnsi="Arial" w:cs="Arial"/>
                <w:sz w:val="16"/>
                <w:szCs w:val="16"/>
              </w:rPr>
              <w:t>Large portfolio landlord (over 5 properties) or a medium to large Managing Agent.</w:t>
            </w:r>
          </w:p>
          <w:p w:rsidR="009658F6" w:rsidRPr="00A770A5" w:rsidRDefault="009658F6" w:rsidP="003111C8">
            <w:pPr>
              <w:rPr>
                <w:rFonts w:ascii="Arial" w:hAnsi="Arial" w:cs="Arial"/>
                <w:sz w:val="16"/>
                <w:szCs w:val="16"/>
              </w:rPr>
            </w:pPr>
            <w:r w:rsidRPr="00A770A5">
              <w:rPr>
                <w:rFonts w:ascii="Arial" w:hAnsi="Arial" w:cs="Arial"/>
                <w:sz w:val="16"/>
                <w:szCs w:val="16"/>
              </w:rPr>
              <w:t>Large asset value.</w:t>
            </w:r>
          </w:p>
          <w:p w:rsidR="009658F6" w:rsidRPr="00A770A5" w:rsidRDefault="009658F6" w:rsidP="003111C8">
            <w:pPr>
              <w:rPr>
                <w:rFonts w:ascii="Arial" w:hAnsi="Arial" w:cs="Arial"/>
                <w:sz w:val="16"/>
                <w:szCs w:val="16"/>
              </w:rPr>
            </w:pPr>
            <w:r w:rsidRPr="00A770A5">
              <w:rPr>
                <w:rFonts w:ascii="Arial" w:hAnsi="Arial" w:cs="Arial"/>
                <w:sz w:val="16"/>
                <w:szCs w:val="16"/>
              </w:rPr>
              <w:t>Large profit made by offender.</w:t>
            </w:r>
          </w:p>
        </w:tc>
        <w:tc>
          <w:tcPr>
            <w:tcW w:w="1308" w:type="dxa"/>
          </w:tcPr>
          <w:p w:rsidR="009658F6" w:rsidRPr="00A770A5" w:rsidRDefault="009658F6" w:rsidP="003111C8">
            <w:pPr>
              <w:rPr>
                <w:rFonts w:ascii="Arial" w:hAnsi="Arial" w:cs="Arial"/>
                <w:sz w:val="16"/>
                <w:szCs w:val="16"/>
              </w:rPr>
            </w:pPr>
          </w:p>
        </w:tc>
      </w:tr>
      <w:tr w:rsidR="009658F6" w:rsidRPr="003B653C" w:rsidTr="003111C8">
        <w:tc>
          <w:tcPr>
            <w:tcW w:w="2024" w:type="dxa"/>
          </w:tcPr>
          <w:p w:rsidR="009658F6" w:rsidRPr="00A770A5" w:rsidRDefault="009658F6" w:rsidP="003111C8">
            <w:pPr>
              <w:rPr>
                <w:rFonts w:ascii="Arial" w:hAnsi="Arial" w:cs="Arial"/>
                <w:b/>
                <w:sz w:val="16"/>
                <w:szCs w:val="16"/>
              </w:rPr>
            </w:pPr>
            <w:r w:rsidRPr="00A770A5">
              <w:rPr>
                <w:rFonts w:ascii="Arial" w:hAnsi="Arial" w:cs="Arial"/>
                <w:b/>
                <w:sz w:val="16"/>
                <w:szCs w:val="16"/>
              </w:rPr>
              <w:t>3 – Offence &amp; History (pick only one box to the right)</w:t>
            </w:r>
          </w:p>
        </w:tc>
        <w:tc>
          <w:tcPr>
            <w:tcW w:w="2025" w:type="dxa"/>
          </w:tcPr>
          <w:p w:rsidR="009658F6" w:rsidRPr="00A770A5" w:rsidRDefault="009658F6" w:rsidP="003111C8">
            <w:pPr>
              <w:rPr>
                <w:rFonts w:ascii="Arial" w:hAnsi="Arial" w:cs="Arial"/>
                <w:sz w:val="16"/>
                <w:szCs w:val="16"/>
              </w:rPr>
            </w:pPr>
            <w:r w:rsidRPr="00A770A5">
              <w:rPr>
                <w:rFonts w:ascii="Arial" w:hAnsi="Arial" w:cs="Arial"/>
                <w:sz w:val="16"/>
                <w:szCs w:val="16"/>
              </w:rPr>
              <w:t xml:space="preserve">Offence committed with little fault e.g. failings were minor and occurred as an isolated incident or efforts were made to address risk </w:t>
            </w:r>
            <w:r w:rsidR="00D631C4" w:rsidRPr="00A770A5">
              <w:rPr>
                <w:rFonts w:ascii="Arial" w:hAnsi="Arial" w:cs="Arial"/>
                <w:sz w:val="16"/>
                <w:szCs w:val="16"/>
              </w:rPr>
              <w:t>although they were inadequate.</w:t>
            </w:r>
          </w:p>
          <w:p w:rsidR="009658F6" w:rsidRPr="00A770A5" w:rsidRDefault="00D631C4" w:rsidP="003111C8">
            <w:pPr>
              <w:rPr>
                <w:rFonts w:ascii="Arial" w:hAnsi="Arial" w:cs="Arial"/>
                <w:sz w:val="16"/>
                <w:szCs w:val="16"/>
              </w:rPr>
            </w:pPr>
            <w:r w:rsidRPr="00A770A5">
              <w:rPr>
                <w:rFonts w:ascii="Arial" w:hAnsi="Arial" w:cs="Arial"/>
                <w:sz w:val="16"/>
                <w:szCs w:val="16"/>
              </w:rPr>
              <w:t>Single low level offence.</w:t>
            </w:r>
          </w:p>
          <w:p w:rsidR="009658F6" w:rsidRPr="00A770A5" w:rsidRDefault="009658F6" w:rsidP="003111C8">
            <w:pPr>
              <w:rPr>
                <w:rFonts w:ascii="Arial" w:hAnsi="Arial" w:cs="Arial"/>
                <w:sz w:val="16"/>
                <w:szCs w:val="16"/>
              </w:rPr>
            </w:pPr>
            <w:r w:rsidRPr="00A770A5">
              <w:rPr>
                <w:rFonts w:ascii="Arial" w:hAnsi="Arial" w:cs="Arial"/>
                <w:sz w:val="16"/>
                <w:szCs w:val="16"/>
              </w:rPr>
              <w:t>N</w:t>
            </w:r>
            <w:r w:rsidR="00D631C4" w:rsidRPr="00A770A5">
              <w:rPr>
                <w:rFonts w:ascii="Arial" w:hAnsi="Arial" w:cs="Arial"/>
                <w:sz w:val="16"/>
                <w:szCs w:val="16"/>
              </w:rPr>
              <w:t>o previous enforcement history.</w:t>
            </w:r>
          </w:p>
        </w:tc>
        <w:tc>
          <w:tcPr>
            <w:tcW w:w="2025" w:type="dxa"/>
          </w:tcPr>
          <w:p w:rsidR="009658F6" w:rsidRPr="00A770A5" w:rsidRDefault="009658F6" w:rsidP="003111C8">
            <w:pPr>
              <w:rPr>
                <w:rFonts w:ascii="Arial" w:hAnsi="Arial" w:cs="Arial"/>
                <w:sz w:val="16"/>
                <w:szCs w:val="16"/>
              </w:rPr>
            </w:pPr>
            <w:r w:rsidRPr="00A770A5">
              <w:rPr>
                <w:rFonts w:ascii="Arial" w:hAnsi="Arial" w:cs="Arial"/>
                <w:sz w:val="16"/>
                <w:szCs w:val="16"/>
              </w:rPr>
              <w:t>Offence committed through act or omission which a person exercising re</w:t>
            </w:r>
            <w:r w:rsidR="00D631C4" w:rsidRPr="00A770A5">
              <w:rPr>
                <w:rFonts w:ascii="Arial" w:hAnsi="Arial" w:cs="Arial"/>
                <w:sz w:val="16"/>
                <w:szCs w:val="16"/>
              </w:rPr>
              <w:t>asonable care would not commit.</w:t>
            </w:r>
          </w:p>
          <w:p w:rsidR="009658F6" w:rsidRPr="00A770A5" w:rsidRDefault="009658F6" w:rsidP="003111C8">
            <w:pPr>
              <w:rPr>
                <w:rFonts w:ascii="Arial" w:hAnsi="Arial" w:cs="Arial"/>
                <w:sz w:val="16"/>
                <w:szCs w:val="16"/>
              </w:rPr>
            </w:pPr>
            <w:r w:rsidRPr="00A770A5">
              <w:rPr>
                <w:rFonts w:ascii="Arial" w:hAnsi="Arial" w:cs="Arial"/>
                <w:sz w:val="16"/>
                <w:szCs w:val="16"/>
              </w:rPr>
              <w:t>Single offence.</w:t>
            </w:r>
          </w:p>
          <w:p w:rsidR="009658F6" w:rsidRPr="00A770A5" w:rsidRDefault="009658F6" w:rsidP="003111C8">
            <w:pPr>
              <w:rPr>
                <w:rFonts w:ascii="Arial" w:hAnsi="Arial" w:cs="Arial"/>
                <w:sz w:val="16"/>
                <w:szCs w:val="16"/>
              </w:rPr>
            </w:pPr>
            <w:r w:rsidRPr="00A770A5">
              <w:rPr>
                <w:rFonts w:ascii="Arial" w:hAnsi="Arial" w:cs="Arial"/>
                <w:sz w:val="16"/>
                <w:szCs w:val="16"/>
              </w:rPr>
              <w:t>Minor previous enforcement.</w:t>
            </w:r>
          </w:p>
          <w:p w:rsidR="009658F6" w:rsidRPr="00A770A5" w:rsidRDefault="009658F6" w:rsidP="003111C8">
            <w:pPr>
              <w:rPr>
                <w:rFonts w:ascii="Arial" w:hAnsi="Arial" w:cs="Arial"/>
                <w:sz w:val="16"/>
                <w:szCs w:val="16"/>
              </w:rPr>
            </w:pPr>
          </w:p>
        </w:tc>
        <w:tc>
          <w:tcPr>
            <w:tcW w:w="2398" w:type="dxa"/>
          </w:tcPr>
          <w:p w:rsidR="009658F6" w:rsidRPr="00A770A5" w:rsidRDefault="009658F6" w:rsidP="003111C8">
            <w:pPr>
              <w:rPr>
                <w:rFonts w:ascii="Arial" w:hAnsi="Arial" w:cs="Arial"/>
                <w:sz w:val="16"/>
                <w:szCs w:val="16"/>
              </w:rPr>
            </w:pPr>
            <w:r w:rsidRPr="00A770A5">
              <w:rPr>
                <w:rFonts w:ascii="Arial" w:hAnsi="Arial" w:cs="Arial"/>
                <w:sz w:val="16"/>
                <w:szCs w:val="16"/>
              </w:rPr>
              <w:t>Offender aware of risk but does not alter actions in light of risk.</w:t>
            </w:r>
          </w:p>
          <w:p w:rsidR="009658F6" w:rsidRPr="00A770A5" w:rsidRDefault="009658F6" w:rsidP="003111C8">
            <w:pPr>
              <w:rPr>
                <w:rFonts w:ascii="Arial" w:hAnsi="Arial" w:cs="Arial"/>
                <w:sz w:val="16"/>
                <w:szCs w:val="16"/>
              </w:rPr>
            </w:pPr>
            <w:r w:rsidRPr="00A770A5">
              <w:rPr>
                <w:rFonts w:ascii="Arial" w:hAnsi="Arial" w:cs="Arial"/>
                <w:sz w:val="16"/>
                <w:szCs w:val="16"/>
              </w:rPr>
              <w:t>Offence has moderate severity or small frequent impacts</w:t>
            </w:r>
            <w:r w:rsidR="00D631C4" w:rsidRPr="00A770A5">
              <w:rPr>
                <w:rFonts w:ascii="Arial" w:hAnsi="Arial" w:cs="Arial"/>
                <w:sz w:val="16"/>
                <w:szCs w:val="16"/>
              </w:rPr>
              <w:t>. Recent second time offender.</w:t>
            </w:r>
          </w:p>
          <w:p w:rsidR="009658F6" w:rsidRPr="00A770A5" w:rsidRDefault="00D631C4" w:rsidP="003111C8">
            <w:pPr>
              <w:rPr>
                <w:rFonts w:ascii="Arial" w:hAnsi="Arial" w:cs="Arial"/>
                <w:sz w:val="16"/>
                <w:szCs w:val="16"/>
              </w:rPr>
            </w:pPr>
            <w:r w:rsidRPr="00A770A5">
              <w:rPr>
                <w:rFonts w:ascii="Arial" w:hAnsi="Arial" w:cs="Arial"/>
                <w:sz w:val="16"/>
                <w:szCs w:val="16"/>
              </w:rPr>
              <w:t>Previous enforcement.</w:t>
            </w:r>
          </w:p>
          <w:p w:rsidR="009658F6" w:rsidRPr="00A770A5" w:rsidRDefault="009658F6" w:rsidP="003111C8">
            <w:pPr>
              <w:rPr>
                <w:rFonts w:ascii="Arial" w:hAnsi="Arial" w:cs="Arial"/>
                <w:sz w:val="16"/>
                <w:szCs w:val="16"/>
              </w:rPr>
            </w:pPr>
          </w:p>
        </w:tc>
        <w:tc>
          <w:tcPr>
            <w:tcW w:w="2126" w:type="dxa"/>
          </w:tcPr>
          <w:p w:rsidR="009658F6" w:rsidRPr="00A770A5" w:rsidRDefault="009658F6" w:rsidP="003111C8">
            <w:pPr>
              <w:rPr>
                <w:rFonts w:ascii="Arial" w:hAnsi="Arial" w:cs="Arial"/>
                <w:sz w:val="16"/>
                <w:szCs w:val="16"/>
              </w:rPr>
            </w:pPr>
            <w:r w:rsidRPr="00A770A5">
              <w:rPr>
                <w:rFonts w:ascii="Arial" w:hAnsi="Arial" w:cs="Arial"/>
                <w:sz w:val="16"/>
                <w:szCs w:val="16"/>
              </w:rPr>
              <w:t>Offender knew their actions were unlawful. Ongoing offence of moderate to large severity or a single ins</w:t>
            </w:r>
            <w:r w:rsidR="00D631C4" w:rsidRPr="00A770A5">
              <w:rPr>
                <w:rFonts w:ascii="Arial" w:hAnsi="Arial" w:cs="Arial"/>
                <w:sz w:val="16"/>
                <w:szCs w:val="16"/>
              </w:rPr>
              <w:t>tance of a very severe offence.</w:t>
            </w:r>
            <w:r w:rsidRPr="00A770A5">
              <w:rPr>
                <w:rFonts w:ascii="Arial" w:hAnsi="Arial" w:cs="Arial"/>
                <w:sz w:val="16"/>
                <w:szCs w:val="16"/>
              </w:rPr>
              <w:t xml:space="preserve"> </w:t>
            </w:r>
          </w:p>
          <w:p w:rsidR="009658F6" w:rsidRPr="00A770A5" w:rsidRDefault="009658F6" w:rsidP="003111C8">
            <w:pPr>
              <w:rPr>
                <w:rFonts w:ascii="Arial" w:hAnsi="Arial" w:cs="Arial"/>
                <w:sz w:val="16"/>
                <w:szCs w:val="16"/>
              </w:rPr>
            </w:pPr>
            <w:r w:rsidRPr="00A770A5">
              <w:rPr>
                <w:rFonts w:ascii="Arial" w:hAnsi="Arial" w:cs="Arial"/>
                <w:sz w:val="16"/>
                <w:szCs w:val="16"/>
              </w:rPr>
              <w:t>Several previous offences.</w:t>
            </w:r>
          </w:p>
          <w:p w:rsidR="009658F6" w:rsidRPr="00A770A5" w:rsidRDefault="009658F6" w:rsidP="003111C8">
            <w:pPr>
              <w:rPr>
                <w:rFonts w:ascii="Arial" w:hAnsi="Arial" w:cs="Arial"/>
                <w:sz w:val="16"/>
                <w:szCs w:val="16"/>
              </w:rPr>
            </w:pPr>
            <w:r w:rsidRPr="00A770A5">
              <w:rPr>
                <w:rFonts w:ascii="Arial" w:hAnsi="Arial" w:cs="Arial"/>
                <w:sz w:val="16"/>
                <w:szCs w:val="16"/>
              </w:rPr>
              <w:t>More than one instance o</w:t>
            </w:r>
            <w:r w:rsidR="00D631C4" w:rsidRPr="00A770A5">
              <w:rPr>
                <w:rFonts w:ascii="Arial" w:hAnsi="Arial" w:cs="Arial"/>
                <w:sz w:val="16"/>
                <w:szCs w:val="16"/>
              </w:rPr>
              <w:t>f previous enforcement action.</w:t>
            </w:r>
          </w:p>
          <w:p w:rsidR="009658F6" w:rsidRPr="00A770A5" w:rsidRDefault="009658F6" w:rsidP="003111C8">
            <w:pPr>
              <w:rPr>
                <w:rFonts w:ascii="Arial" w:hAnsi="Arial" w:cs="Arial"/>
                <w:sz w:val="16"/>
                <w:szCs w:val="16"/>
              </w:rPr>
            </w:pPr>
          </w:p>
          <w:p w:rsidR="009658F6" w:rsidRPr="00A770A5" w:rsidRDefault="009658F6" w:rsidP="003111C8">
            <w:pPr>
              <w:rPr>
                <w:rFonts w:ascii="Arial" w:hAnsi="Arial" w:cs="Arial"/>
                <w:sz w:val="16"/>
                <w:szCs w:val="16"/>
              </w:rPr>
            </w:pPr>
          </w:p>
        </w:tc>
        <w:tc>
          <w:tcPr>
            <w:tcW w:w="2268" w:type="dxa"/>
          </w:tcPr>
          <w:p w:rsidR="009658F6" w:rsidRPr="00A770A5" w:rsidRDefault="009658F6" w:rsidP="003111C8">
            <w:pPr>
              <w:rPr>
                <w:rFonts w:ascii="Arial" w:hAnsi="Arial" w:cs="Arial"/>
                <w:sz w:val="16"/>
                <w:szCs w:val="16"/>
              </w:rPr>
            </w:pPr>
            <w:r w:rsidRPr="00A770A5">
              <w:rPr>
                <w:rFonts w:ascii="Arial" w:hAnsi="Arial" w:cs="Arial"/>
                <w:sz w:val="16"/>
                <w:szCs w:val="16"/>
              </w:rPr>
              <w:t xml:space="preserve">Offender has intentionally breached or flagrantly disregarded the law. </w:t>
            </w:r>
          </w:p>
          <w:p w:rsidR="009658F6" w:rsidRPr="00A770A5" w:rsidRDefault="00D631C4" w:rsidP="003111C8">
            <w:pPr>
              <w:rPr>
                <w:rFonts w:ascii="Arial" w:hAnsi="Arial" w:cs="Arial"/>
                <w:sz w:val="16"/>
                <w:szCs w:val="16"/>
              </w:rPr>
            </w:pPr>
            <w:r w:rsidRPr="00A770A5">
              <w:rPr>
                <w:rFonts w:ascii="Arial" w:hAnsi="Arial" w:cs="Arial"/>
                <w:sz w:val="16"/>
                <w:szCs w:val="16"/>
              </w:rPr>
              <w:t xml:space="preserve">Continuing serious offence. </w:t>
            </w:r>
            <w:r w:rsidR="009658F6" w:rsidRPr="00A770A5">
              <w:rPr>
                <w:rFonts w:ascii="Arial" w:hAnsi="Arial" w:cs="Arial"/>
                <w:sz w:val="16"/>
                <w:szCs w:val="16"/>
              </w:rPr>
              <w:t>Serial offender.</w:t>
            </w:r>
          </w:p>
          <w:p w:rsidR="009658F6" w:rsidRPr="00A770A5" w:rsidRDefault="009658F6" w:rsidP="003111C8">
            <w:pPr>
              <w:rPr>
                <w:rFonts w:ascii="Arial" w:hAnsi="Arial" w:cs="Arial"/>
                <w:sz w:val="16"/>
                <w:szCs w:val="16"/>
              </w:rPr>
            </w:pPr>
            <w:r w:rsidRPr="00A770A5">
              <w:rPr>
                <w:rFonts w:ascii="Arial" w:hAnsi="Arial" w:cs="Arial"/>
                <w:sz w:val="16"/>
                <w:szCs w:val="16"/>
              </w:rPr>
              <w:t>Multiple enforcement over recent times.</w:t>
            </w:r>
          </w:p>
          <w:p w:rsidR="009658F6" w:rsidRPr="00A770A5" w:rsidRDefault="009658F6" w:rsidP="003111C8">
            <w:pPr>
              <w:rPr>
                <w:rFonts w:ascii="Arial" w:hAnsi="Arial" w:cs="Arial"/>
                <w:sz w:val="16"/>
                <w:szCs w:val="16"/>
              </w:rPr>
            </w:pPr>
          </w:p>
        </w:tc>
        <w:tc>
          <w:tcPr>
            <w:tcW w:w="1308" w:type="dxa"/>
          </w:tcPr>
          <w:p w:rsidR="009658F6" w:rsidRPr="00A770A5" w:rsidRDefault="009658F6" w:rsidP="003111C8">
            <w:pPr>
              <w:rPr>
                <w:rFonts w:ascii="Arial" w:hAnsi="Arial" w:cs="Arial"/>
                <w:sz w:val="16"/>
                <w:szCs w:val="16"/>
              </w:rPr>
            </w:pPr>
          </w:p>
        </w:tc>
      </w:tr>
      <w:tr w:rsidR="009658F6" w:rsidRPr="003B653C" w:rsidTr="003111C8">
        <w:tc>
          <w:tcPr>
            <w:tcW w:w="2024" w:type="dxa"/>
          </w:tcPr>
          <w:p w:rsidR="009658F6" w:rsidRPr="00A770A5" w:rsidRDefault="009658F6" w:rsidP="003111C8">
            <w:pPr>
              <w:rPr>
                <w:rFonts w:ascii="Arial" w:hAnsi="Arial" w:cs="Arial"/>
                <w:b/>
                <w:sz w:val="16"/>
                <w:szCs w:val="16"/>
              </w:rPr>
            </w:pPr>
            <w:r w:rsidRPr="00A770A5">
              <w:rPr>
                <w:rFonts w:ascii="Arial" w:hAnsi="Arial" w:cs="Arial"/>
                <w:b/>
                <w:sz w:val="16"/>
                <w:szCs w:val="16"/>
              </w:rPr>
              <w:t>4 – Harm to Tenant (s) (weighting x 2)</w:t>
            </w:r>
          </w:p>
          <w:p w:rsidR="009658F6" w:rsidRPr="00A770A5" w:rsidRDefault="009658F6" w:rsidP="003111C8">
            <w:pPr>
              <w:rPr>
                <w:rFonts w:ascii="Arial" w:hAnsi="Arial" w:cs="Arial"/>
                <w:b/>
                <w:sz w:val="16"/>
                <w:szCs w:val="16"/>
              </w:rPr>
            </w:pPr>
            <w:r w:rsidRPr="00A770A5">
              <w:rPr>
                <w:rFonts w:ascii="Arial" w:hAnsi="Arial" w:cs="Arial"/>
                <w:b/>
                <w:sz w:val="16"/>
                <w:szCs w:val="16"/>
              </w:rPr>
              <w:t>(pick only one box to the right)</w:t>
            </w:r>
          </w:p>
        </w:tc>
        <w:tc>
          <w:tcPr>
            <w:tcW w:w="2025" w:type="dxa"/>
          </w:tcPr>
          <w:p w:rsidR="009658F6" w:rsidRPr="00A770A5" w:rsidRDefault="009658F6" w:rsidP="003111C8">
            <w:pPr>
              <w:rPr>
                <w:rFonts w:ascii="Arial" w:hAnsi="Arial" w:cs="Arial"/>
                <w:sz w:val="16"/>
                <w:szCs w:val="16"/>
              </w:rPr>
            </w:pPr>
            <w:r w:rsidRPr="00A770A5">
              <w:rPr>
                <w:rFonts w:ascii="Arial" w:hAnsi="Arial" w:cs="Arial"/>
                <w:sz w:val="16"/>
                <w:szCs w:val="16"/>
              </w:rPr>
              <w:t>Very little or no harm caused.</w:t>
            </w:r>
          </w:p>
          <w:p w:rsidR="009658F6" w:rsidRPr="00A770A5" w:rsidRDefault="009658F6" w:rsidP="003111C8">
            <w:pPr>
              <w:rPr>
                <w:rFonts w:ascii="Arial" w:hAnsi="Arial" w:cs="Arial"/>
                <w:sz w:val="16"/>
                <w:szCs w:val="16"/>
              </w:rPr>
            </w:pPr>
            <w:r w:rsidRPr="00A770A5">
              <w:rPr>
                <w:rFonts w:ascii="Arial" w:hAnsi="Arial" w:cs="Arial"/>
                <w:sz w:val="16"/>
                <w:szCs w:val="16"/>
              </w:rPr>
              <w:t>No vulnerable occupants.</w:t>
            </w:r>
          </w:p>
          <w:p w:rsidR="009658F6" w:rsidRPr="00A770A5" w:rsidRDefault="009658F6" w:rsidP="003111C8">
            <w:pPr>
              <w:rPr>
                <w:rFonts w:ascii="Arial" w:hAnsi="Arial" w:cs="Arial"/>
                <w:sz w:val="16"/>
                <w:szCs w:val="16"/>
              </w:rPr>
            </w:pPr>
            <w:r w:rsidRPr="00A770A5">
              <w:rPr>
                <w:rFonts w:ascii="Arial" w:hAnsi="Arial" w:cs="Arial"/>
                <w:sz w:val="16"/>
                <w:szCs w:val="16"/>
              </w:rPr>
              <w:t>Tenant pro</w:t>
            </w:r>
            <w:r w:rsidR="00D631C4" w:rsidRPr="00A770A5">
              <w:rPr>
                <w:rFonts w:ascii="Arial" w:hAnsi="Arial" w:cs="Arial"/>
                <w:sz w:val="16"/>
                <w:szCs w:val="16"/>
              </w:rPr>
              <w:t>vides no information on impact.</w:t>
            </w:r>
            <w:r w:rsidRPr="00A770A5">
              <w:rPr>
                <w:rFonts w:ascii="Arial" w:hAnsi="Arial" w:cs="Arial"/>
                <w:sz w:val="16"/>
                <w:szCs w:val="16"/>
              </w:rPr>
              <w:t xml:space="preserve"> </w:t>
            </w:r>
          </w:p>
        </w:tc>
        <w:tc>
          <w:tcPr>
            <w:tcW w:w="2025" w:type="dxa"/>
          </w:tcPr>
          <w:p w:rsidR="009658F6" w:rsidRPr="00A770A5" w:rsidRDefault="009658F6" w:rsidP="003111C8">
            <w:pPr>
              <w:rPr>
                <w:rFonts w:ascii="Arial" w:hAnsi="Arial" w:cs="Arial"/>
                <w:sz w:val="16"/>
                <w:szCs w:val="16"/>
              </w:rPr>
            </w:pPr>
            <w:r w:rsidRPr="00A770A5">
              <w:rPr>
                <w:rFonts w:ascii="Arial" w:hAnsi="Arial" w:cs="Arial"/>
                <w:sz w:val="16"/>
                <w:szCs w:val="16"/>
              </w:rPr>
              <w:t>Likely some low level health/harm risk(s) to occupant.</w:t>
            </w:r>
          </w:p>
          <w:p w:rsidR="009658F6" w:rsidRPr="00A770A5" w:rsidRDefault="009658F6" w:rsidP="003111C8">
            <w:pPr>
              <w:rPr>
                <w:rFonts w:ascii="Arial" w:hAnsi="Arial" w:cs="Arial"/>
                <w:sz w:val="16"/>
                <w:szCs w:val="16"/>
              </w:rPr>
            </w:pPr>
            <w:r w:rsidRPr="00A770A5">
              <w:rPr>
                <w:rFonts w:ascii="Arial" w:hAnsi="Arial" w:cs="Arial"/>
                <w:sz w:val="16"/>
                <w:szCs w:val="16"/>
              </w:rPr>
              <w:t>No vulnerable occupants.</w:t>
            </w:r>
          </w:p>
          <w:p w:rsidR="009658F6" w:rsidRPr="00A770A5" w:rsidRDefault="009658F6" w:rsidP="003111C8">
            <w:pPr>
              <w:rPr>
                <w:rFonts w:ascii="Arial" w:hAnsi="Arial" w:cs="Arial"/>
                <w:sz w:val="16"/>
                <w:szCs w:val="16"/>
              </w:rPr>
            </w:pPr>
            <w:r w:rsidRPr="00A770A5">
              <w:rPr>
                <w:rFonts w:ascii="Arial" w:hAnsi="Arial" w:cs="Arial"/>
                <w:sz w:val="16"/>
                <w:szCs w:val="16"/>
              </w:rPr>
              <w:t xml:space="preserve">Tenant provides poor </w:t>
            </w:r>
            <w:r w:rsidR="00D631C4" w:rsidRPr="00A770A5">
              <w:rPr>
                <w:rFonts w:ascii="Arial" w:hAnsi="Arial" w:cs="Arial"/>
                <w:sz w:val="16"/>
                <w:szCs w:val="16"/>
              </w:rPr>
              <w:t>quality information on impact.</w:t>
            </w:r>
          </w:p>
        </w:tc>
        <w:tc>
          <w:tcPr>
            <w:tcW w:w="2398" w:type="dxa"/>
          </w:tcPr>
          <w:p w:rsidR="009658F6" w:rsidRPr="00A770A5" w:rsidRDefault="009658F6" w:rsidP="003111C8">
            <w:pPr>
              <w:rPr>
                <w:rFonts w:ascii="Arial" w:hAnsi="Arial" w:cs="Arial"/>
                <w:sz w:val="16"/>
                <w:szCs w:val="16"/>
              </w:rPr>
            </w:pPr>
            <w:r w:rsidRPr="00A770A5">
              <w:rPr>
                <w:rFonts w:ascii="Arial" w:hAnsi="Arial" w:cs="Arial"/>
                <w:sz w:val="16"/>
                <w:szCs w:val="16"/>
              </w:rPr>
              <w:t>Likely moderate level health/harm risk(s) to occupant.</w:t>
            </w:r>
          </w:p>
          <w:p w:rsidR="009658F6" w:rsidRPr="00A770A5" w:rsidRDefault="009658F6" w:rsidP="003111C8">
            <w:pPr>
              <w:rPr>
                <w:rFonts w:ascii="Arial" w:hAnsi="Arial" w:cs="Arial"/>
                <w:sz w:val="16"/>
                <w:szCs w:val="16"/>
              </w:rPr>
            </w:pPr>
            <w:r w:rsidRPr="00A770A5">
              <w:rPr>
                <w:rFonts w:ascii="Arial" w:hAnsi="Arial" w:cs="Arial"/>
                <w:sz w:val="16"/>
                <w:szCs w:val="16"/>
              </w:rPr>
              <w:t>Vulnerable occupants potentially exposed.</w:t>
            </w:r>
          </w:p>
          <w:p w:rsidR="009658F6" w:rsidRPr="00A770A5" w:rsidRDefault="009658F6" w:rsidP="003111C8">
            <w:pPr>
              <w:rPr>
                <w:rFonts w:ascii="Arial" w:hAnsi="Arial" w:cs="Arial"/>
                <w:sz w:val="16"/>
                <w:szCs w:val="16"/>
              </w:rPr>
            </w:pPr>
            <w:r w:rsidRPr="00A770A5">
              <w:rPr>
                <w:rFonts w:ascii="Arial" w:hAnsi="Arial" w:cs="Arial"/>
                <w:sz w:val="16"/>
                <w:szCs w:val="16"/>
              </w:rPr>
              <w:t xml:space="preserve">Tenant provides some information on impact but with no </w:t>
            </w:r>
            <w:r w:rsidR="00D631C4" w:rsidRPr="00A770A5">
              <w:rPr>
                <w:rFonts w:ascii="Arial" w:hAnsi="Arial" w:cs="Arial"/>
                <w:sz w:val="16"/>
                <w:szCs w:val="16"/>
              </w:rPr>
              <w:t>primary or secondary evidence.</w:t>
            </w:r>
          </w:p>
        </w:tc>
        <w:tc>
          <w:tcPr>
            <w:tcW w:w="2126" w:type="dxa"/>
          </w:tcPr>
          <w:p w:rsidR="009658F6" w:rsidRPr="00A770A5" w:rsidRDefault="009658F6" w:rsidP="003111C8">
            <w:pPr>
              <w:rPr>
                <w:rFonts w:ascii="Arial" w:hAnsi="Arial" w:cs="Arial"/>
                <w:sz w:val="16"/>
                <w:szCs w:val="16"/>
              </w:rPr>
            </w:pPr>
            <w:r w:rsidRPr="00A770A5">
              <w:rPr>
                <w:rFonts w:ascii="Arial" w:hAnsi="Arial" w:cs="Arial"/>
                <w:sz w:val="16"/>
                <w:szCs w:val="16"/>
              </w:rPr>
              <w:t>High level of hea</w:t>
            </w:r>
            <w:r w:rsidR="00D631C4" w:rsidRPr="00A770A5">
              <w:rPr>
                <w:rFonts w:ascii="Arial" w:hAnsi="Arial" w:cs="Arial"/>
                <w:sz w:val="16"/>
                <w:szCs w:val="16"/>
              </w:rPr>
              <w:t xml:space="preserve">lth/harm risk(s) to occupant. </w:t>
            </w:r>
            <w:r w:rsidRPr="00A770A5">
              <w:rPr>
                <w:rFonts w:ascii="Arial" w:hAnsi="Arial" w:cs="Arial"/>
                <w:sz w:val="16"/>
                <w:szCs w:val="16"/>
              </w:rPr>
              <w:t>Tenant(s) will be affected frequently or by occasional high impact occurrences.</w:t>
            </w:r>
          </w:p>
          <w:p w:rsidR="009658F6" w:rsidRPr="00A770A5" w:rsidRDefault="009658F6" w:rsidP="003111C8">
            <w:pPr>
              <w:rPr>
                <w:rFonts w:ascii="Arial" w:hAnsi="Arial" w:cs="Arial"/>
                <w:sz w:val="16"/>
                <w:szCs w:val="16"/>
              </w:rPr>
            </w:pPr>
            <w:r w:rsidRPr="00A770A5">
              <w:rPr>
                <w:rFonts w:ascii="Arial" w:hAnsi="Arial" w:cs="Arial"/>
                <w:sz w:val="16"/>
                <w:szCs w:val="16"/>
              </w:rPr>
              <w:t>Vulnerable occupants more than likely exposed.</w:t>
            </w:r>
          </w:p>
          <w:p w:rsidR="009658F6" w:rsidRPr="00A770A5" w:rsidRDefault="009658F6" w:rsidP="003111C8">
            <w:pPr>
              <w:rPr>
                <w:rFonts w:ascii="Arial" w:hAnsi="Arial" w:cs="Arial"/>
                <w:sz w:val="16"/>
                <w:szCs w:val="16"/>
              </w:rPr>
            </w:pPr>
            <w:r w:rsidRPr="00A770A5">
              <w:rPr>
                <w:rFonts w:ascii="Arial" w:hAnsi="Arial" w:cs="Arial"/>
                <w:sz w:val="16"/>
                <w:szCs w:val="16"/>
              </w:rPr>
              <w:t>Small HMO (3 -4) occupants, multiple occupants exposed.</w:t>
            </w:r>
          </w:p>
          <w:p w:rsidR="009658F6" w:rsidRPr="00A770A5" w:rsidRDefault="009658F6" w:rsidP="003111C8">
            <w:pPr>
              <w:rPr>
                <w:rFonts w:ascii="Arial" w:hAnsi="Arial" w:cs="Arial"/>
                <w:sz w:val="16"/>
                <w:szCs w:val="16"/>
              </w:rPr>
            </w:pPr>
            <w:r w:rsidRPr="00A770A5">
              <w:rPr>
                <w:rFonts w:ascii="Arial" w:hAnsi="Arial" w:cs="Arial"/>
                <w:sz w:val="16"/>
                <w:szCs w:val="16"/>
              </w:rPr>
              <w:t>Tenant provides good information on impact with primary evidence (e.g.</w:t>
            </w:r>
            <w:r w:rsidR="00866B52" w:rsidRPr="00A770A5">
              <w:rPr>
                <w:rFonts w:ascii="Arial" w:hAnsi="Arial" w:cs="Arial"/>
                <w:sz w:val="16"/>
                <w:szCs w:val="16"/>
              </w:rPr>
              <w:t xml:space="preserve"> </w:t>
            </w:r>
            <w:r w:rsidRPr="00A770A5">
              <w:rPr>
                <w:rFonts w:ascii="Arial" w:hAnsi="Arial" w:cs="Arial"/>
                <w:sz w:val="16"/>
                <w:szCs w:val="16"/>
              </w:rPr>
              <w:t>prescription drugs present, clear signs of poor health witnes</w:t>
            </w:r>
            <w:r w:rsidR="00D631C4" w:rsidRPr="00A770A5">
              <w:rPr>
                <w:rFonts w:ascii="Arial" w:hAnsi="Arial" w:cs="Arial"/>
                <w:sz w:val="16"/>
                <w:szCs w:val="16"/>
              </w:rPr>
              <w:t>sed) but no secondary evidence.</w:t>
            </w:r>
            <w:r w:rsidRPr="00A770A5">
              <w:rPr>
                <w:rFonts w:ascii="Arial" w:hAnsi="Arial" w:cs="Arial"/>
                <w:sz w:val="16"/>
                <w:szCs w:val="16"/>
              </w:rPr>
              <w:t xml:space="preserve"> </w:t>
            </w:r>
          </w:p>
        </w:tc>
        <w:tc>
          <w:tcPr>
            <w:tcW w:w="2268" w:type="dxa"/>
          </w:tcPr>
          <w:p w:rsidR="009658F6" w:rsidRPr="00A770A5" w:rsidRDefault="009658F6" w:rsidP="003111C8">
            <w:pPr>
              <w:rPr>
                <w:rFonts w:ascii="Arial" w:hAnsi="Arial" w:cs="Arial"/>
                <w:sz w:val="16"/>
                <w:szCs w:val="16"/>
              </w:rPr>
            </w:pPr>
            <w:r w:rsidRPr="00A770A5">
              <w:rPr>
                <w:rFonts w:ascii="Arial" w:hAnsi="Arial" w:cs="Arial"/>
                <w:sz w:val="16"/>
                <w:szCs w:val="16"/>
              </w:rPr>
              <w:t>Obvious high level health/harm risk(s) and evidence that tenant(s) are badl</w:t>
            </w:r>
            <w:r w:rsidR="00D631C4" w:rsidRPr="00A770A5">
              <w:rPr>
                <w:rFonts w:ascii="Arial" w:hAnsi="Arial" w:cs="Arial"/>
                <w:sz w:val="16"/>
                <w:szCs w:val="16"/>
              </w:rPr>
              <w:t xml:space="preserve">y and/or continually affected. </w:t>
            </w:r>
            <w:r w:rsidRPr="00A770A5">
              <w:rPr>
                <w:rFonts w:ascii="Arial" w:hAnsi="Arial" w:cs="Arial"/>
                <w:sz w:val="16"/>
                <w:szCs w:val="16"/>
              </w:rPr>
              <w:t>Multiple vulnerable occup</w:t>
            </w:r>
            <w:r w:rsidR="00D631C4" w:rsidRPr="00A770A5">
              <w:rPr>
                <w:rFonts w:ascii="Arial" w:hAnsi="Arial" w:cs="Arial"/>
                <w:sz w:val="16"/>
                <w:szCs w:val="16"/>
              </w:rPr>
              <w:t>ants exposed.</w:t>
            </w:r>
            <w:r w:rsidRPr="00A770A5">
              <w:rPr>
                <w:rFonts w:ascii="Arial" w:hAnsi="Arial" w:cs="Arial"/>
                <w:sz w:val="16"/>
                <w:szCs w:val="16"/>
              </w:rPr>
              <w:t xml:space="preserve"> </w:t>
            </w:r>
          </w:p>
          <w:p w:rsidR="009658F6" w:rsidRPr="00A770A5" w:rsidRDefault="009658F6" w:rsidP="003111C8">
            <w:pPr>
              <w:rPr>
                <w:rFonts w:ascii="Arial" w:hAnsi="Arial" w:cs="Arial"/>
                <w:sz w:val="16"/>
                <w:szCs w:val="16"/>
              </w:rPr>
            </w:pPr>
            <w:r w:rsidRPr="00A770A5">
              <w:rPr>
                <w:rFonts w:ascii="Arial" w:hAnsi="Arial" w:cs="Arial"/>
                <w:sz w:val="16"/>
                <w:szCs w:val="16"/>
              </w:rPr>
              <w:t>La</w:t>
            </w:r>
            <w:r w:rsidR="00D631C4" w:rsidRPr="00A770A5">
              <w:rPr>
                <w:rFonts w:ascii="Arial" w:hAnsi="Arial" w:cs="Arial"/>
                <w:sz w:val="16"/>
                <w:szCs w:val="16"/>
              </w:rPr>
              <w:t xml:space="preserve">rge HMO (5+ occupants exposed. </w:t>
            </w:r>
            <w:r w:rsidRPr="00A770A5">
              <w:rPr>
                <w:rFonts w:ascii="Arial" w:hAnsi="Arial" w:cs="Arial"/>
                <w:sz w:val="16"/>
                <w:szCs w:val="16"/>
              </w:rPr>
              <w:t>Tenant provides excellent information on impact with primary and secondary evidence provided (e.g. medi</w:t>
            </w:r>
            <w:r w:rsidR="00D631C4" w:rsidRPr="00A770A5">
              <w:rPr>
                <w:rFonts w:ascii="Arial" w:hAnsi="Arial" w:cs="Arial"/>
                <w:sz w:val="16"/>
                <w:szCs w:val="16"/>
              </w:rPr>
              <w:t>cal, social services reports).</w:t>
            </w:r>
          </w:p>
        </w:tc>
        <w:tc>
          <w:tcPr>
            <w:tcW w:w="1308" w:type="dxa"/>
          </w:tcPr>
          <w:p w:rsidR="009658F6" w:rsidRPr="00A770A5" w:rsidRDefault="009658F6" w:rsidP="003111C8">
            <w:pPr>
              <w:rPr>
                <w:rFonts w:ascii="Arial" w:hAnsi="Arial" w:cs="Arial"/>
                <w:sz w:val="16"/>
                <w:szCs w:val="16"/>
              </w:rPr>
            </w:pPr>
            <w:r w:rsidRPr="00A770A5">
              <w:rPr>
                <w:rFonts w:ascii="Arial" w:hAnsi="Arial" w:cs="Arial"/>
                <w:sz w:val="16"/>
                <w:szCs w:val="16"/>
              </w:rPr>
              <w:t xml:space="preserve">Double score </w:t>
            </w:r>
          </w:p>
        </w:tc>
      </w:tr>
      <w:tr w:rsidR="009658F6" w:rsidRPr="003B653C" w:rsidTr="003111C8">
        <w:tc>
          <w:tcPr>
            <w:tcW w:w="2024" w:type="dxa"/>
          </w:tcPr>
          <w:p w:rsidR="009658F6" w:rsidRPr="00A770A5" w:rsidRDefault="009658F6" w:rsidP="003111C8">
            <w:pPr>
              <w:rPr>
                <w:rFonts w:ascii="Arial" w:hAnsi="Arial" w:cs="Arial"/>
                <w:sz w:val="16"/>
                <w:szCs w:val="16"/>
              </w:rPr>
            </w:pPr>
            <w:r w:rsidRPr="00A770A5">
              <w:rPr>
                <w:rFonts w:ascii="Arial" w:hAnsi="Arial" w:cs="Arial"/>
                <w:sz w:val="16"/>
                <w:szCs w:val="16"/>
              </w:rPr>
              <w:t>Final Total</w:t>
            </w:r>
          </w:p>
        </w:tc>
        <w:tc>
          <w:tcPr>
            <w:tcW w:w="2025" w:type="dxa"/>
          </w:tcPr>
          <w:p w:rsidR="009658F6" w:rsidRPr="00A770A5" w:rsidRDefault="009658F6" w:rsidP="003111C8">
            <w:pPr>
              <w:rPr>
                <w:rFonts w:ascii="Arial" w:hAnsi="Arial" w:cs="Arial"/>
                <w:sz w:val="16"/>
                <w:szCs w:val="16"/>
              </w:rPr>
            </w:pPr>
          </w:p>
        </w:tc>
        <w:tc>
          <w:tcPr>
            <w:tcW w:w="2025" w:type="dxa"/>
          </w:tcPr>
          <w:p w:rsidR="009658F6" w:rsidRPr="00A770A5" w:rsidRDefault="009658F6" w:rsidP="003111C8">
            <w:pPr>
              <w:rPr>
                <w:rFonts w:ascii="Arial" w:hAnsi="Arial" w:cs="Arial"/>
                <w:sz w:val="16"/>
                <w:szCs w:val="16"/>
              </w:rPr>
            </w:pPr>
          </w:p>
        </w:tc>
        <w:tc>
          <w:tcPr>
            <w:tcW w:w="2398" w:type="dxa"/>
          </w:tcPr>
          <w:p w:rsidR="009658F6" w:rsidRPr="00A770A5" w:rsidRDefault="009658F6" w:rsidP="003111C8">
            <w:pPr>
              <w:rPr>
                <w:rFonts w:ascii="Arial" w:hAnsi="Arial" w:cs="Arial"/>
                <w:sz w:val="16"/>
                <w:szCs w:val="16"/>
              </w:rPr>
            </w:pPr>
          </w:p>
        </w:tc>
        <w:tc>
          <w:tcPr>
            <w:tcW w:w="2126" w:type="dxa"/>
          </w:tcPr>
          <w:p w:rsidR="009658F6" w:rsidRPr="00A770A5" w:rsidRDefault="009658F6" w:rsidP="003111C8">
            <w:pPr>
              <w:rPr>
                <w:rFonts w:ascii="Arial" w:hAnsi="Arial" w:cs="Arial"/>
                <w:sz w:val="16"/>
                <w:szCs w:val="16"/>
              </w:rPr>
            </w:pPr>
          </w:p>
        </w:tc>
        <w:tc>
          <w:tcPr>
            <w:tcW w:w="2268" w:type="dxa"/>
          </w:tcPr>
          <w:p w:rsidR="009658F6" w:rsidRPr="00A770A5" w:rsidRDefault="009658F6" w:rsidP="003111C8">
            <w:pPr>
              <w:rPr>
                <w:rFonts w:ascii="Arial" w:hAnsi="Arial" w:cs="Arial"/>
                <w:sz w:val="16"/>
                <w:szCs w:val="16"/>
              </w:rPr>
            </w:pPr>
          </w:p>
        </w:tc>
        <w:tc>
          <w:tcPr>
            <w:tcW w:w="1308" w:type="dxa"/>
          </w:tcPr>
          <w:p w:rsidR="009658F6" w:rsidRPr="00A770A5" w:rsidRDefault="009658F6" w:rsidP="003111C8">
            <w:pPr>
              <w:rPr>
                <w:rFonts w:ascii="Arial" w:hAnsi="Arial" w:cs="Arial"/>
                <w:sz w:val="16"/>
                <w:szCs w:val="16"/>
              </w:rPr>
            </w:pPr>
            <w:r w:rsidRPr="00A770A5">
              <w:rPr>
                <w:rFonts w:ascii="Arial" w:hAnsi="Arial" w:cs="Arial"/>
                <w:sz w:val="16"/>
                <w:szCs w:val="16"/>
              </w:rPr>
              <w:t xml:space="preserve">Add total of above here </w:t>
            </w:r>
          </w:p>
        </w:tc>
      </w:tr>
    </w:tbl>
    <w:p w:rsidR="0075352D" w:rsidRDefault="0075352D">
      <w:pPr>
        <w:rPr>
          <w:rFonts w:ascii="Arial" w:hAnsi="Arial" w:cs="Arial"/>
          <w:sz w:val="20"/>
          <w:szCs w:val="20"/>
        </w:rPr>
        <w:sectPr w:rsidR="0075352D" w:rsidSect="0075352D">
          <w:pgSz w:w="16838" w:h="11906" w:orient="landscape"/>
          <w:pgMar w:top="1440" w:right="1440" w:bottom="1440" w:left="1440" w:header="709" w:footer="709" w:gutter="0"/>
          <w:cols w:space="708"/>
          <w:docGrid w:linePitch="360"/>
        </w:sectPr>
      </w:pPr>
    </w:p>
    <w:p w:rsidR="009658F6" w:rsidRPr="003B653C" w:rsidRDefault="009658F6">
      <w:pPr>
        <w:rPr>
          <w:rFonts w:ascii="Arial" w:hAnsi="Arial" w:cs="Arial"/>
          <w:sz w:val="20"/>
          <w:szCs w:val="20"/>
        </w:rPr>
      </w:pPr>
    </w:p>
    <w:tbl>
      <w:tblPr>
        <w:tblStyle w:val="TableGrid1"/>
        <w:tblpPr w:leftFromText="180" w:rightFromText="180" w:vertAnchor="text" w:tblpY="1"/>
        <w:tblOverlap w:val="never"/>
        <w:tblW w:w="0" w:type="auto"/>
        <w:tblLook w:val="04A0" w:firstRow="1" w:lastRow="0" w:firstColumn="1" w:lastColumn="0" w:noHBand="0" w:noVBand="1"/>
      </w:tblPr>
      <w:tblGrid>
        <w:gridCol w:w="1526"/>
        <w:gridCol w:w="1276"/>
      </w:tblGrid>
      <w:tr w:rsidR="009658F6" w:rsidRPr="0075352D" w:rsidTr="003111C8">
        <w:tc>
          <w:tcPr>
            <w:tcW w:w="1526" w:type="dxa"/>
          </w:tcPr>
          <w:p w:rsidR="009658F6" w:rsidRPr="0075352D" w:rsidRDefault="009658F6" w:rsidP="003111C8">
            <w:pPr>
              <w:rPr>
                <w:rFonts w:ascii="Arial" w:hAnsi="Arial" w:cs="Arial"/>
              </w:rPr>
            </w:pPr>
            <w:r w:rsidRPr="0075352D">
              <w:rPr>
                <w:rFonts w:ascii="Arial" w:hAnsi="Arial" w:cs="Arial"/>
              </w:rPr>
              <w:t>Score range</w:t>
            </w:r>
          </w:p>
        </w:tc>
        <w:tc>
          <w:tcPr>
            <w:tcW w:w="1276" w:type="dxa"/>
          </w:tcPr>
          <w:p w:rsidR="009658F6" w:rsidRPr="0075352D" w:rsidRDefault="009658F6" w:rsidP="003111C8">
            <w:pPr>
              <w:rPr>
                <w:rFonts w:ascii="Arial" w:hAnsi="Arial" w:cs="Arial"/>
              </w:rPr>
            </w:pPr>
            <w:r w:rsidRPr="0075352D">
              <w:rPr>
                <w:rFonts w:ascii="Arial" w:hAnsi="Arial" w:cs="Arial"/>
              </w:rPr>
              <w:t xml:space="preserve">Fee </w:t>
            </w:r>
          </w:p>
        </w:tc>
      </w:tr>
      <w:tr w:rsidR="009658F6" w:rsidRPr="0075352D" w:rsidTr="003111C8">
        <w:tc>
          <w:tcPr>
            <w:tcW w:w="1526" w:type="dxa"/>
          </w:tcPr>
          <w:p w:rsidR="009658F6" w:rsidRPr="0075352D" w:rsidRDefault="009658F6" w:rsidP="003111C8">
            <w:pPr>
              <w:rPr>
                <w:rFonts w:ascii="Arial" w:hAnsi="Arial" w:cs="Arial"/>
              </w:rPr>
            </w:pPr>
            <w:r w:rsidRPr="0075352D">
              <w:rPr>
                <w:rFonts w:ascii="Arial" w:hAnsi="Arial" w:cs="Arial"/>
              </w:rPr>
              <w:t xml:space="preserve"> 1 – 5</w:t>
            </w:r>
          </w:p>
        </w:tc>
        <w:tc>
          <w:tcPr>
            <w:tcW w:w="1276" w:type="dxa"/>
          </w:tcPr>
          <w:p w:rsidR="009658F6" w:rsidRPr="0075352D" w:rsidRDefault="009658F6" w:rsidP="003111C8">
            <w:pPr>
              <w:rPr>
                <w:rFonts w:ascii="Arial" w:hAnsi="Arial" w:cs="Arial"/>
              </w:rPr>
            </w:pPr>
            <w:r w:rsidRPr="0075352D">
              <w:rPr>
                <w:rFonts w:ascii="Arial" w:hAnsi="Arial" w:cs="Arial"/>
              </w:rPr>
              <w:t>£250</w:t>
            </w:r>
          </w:p>
        </w:tc>
      </w:tr>
      <w:tr w:rsidR="009658F6" w:rsidRPr="0075352D" w:rsidTr="003111C8">
        <w:tc>
          <w:tcPr>
            <w:tcW w:w="1526" w:type="dxa"/>
          </w:tcPr>
          <w:p w:rsidR="009658F6" w:rsidRPr="0075352D" w:rsidRDefault="009658F6" w:rsidP="003111C8">
            <w:pPr>
              <w:rPr>
                <w:rFonts w:ascii="Arial" w:hAnsi="Arial" w:cs="Arial"/>
              </w:rPr>
            </w:pPr>
            <w:r w:rsidRPr="0075352D">
              <w:rPr>
                <w:rFonts w:ascii="Arial" w:hAnsi="Arial" w:cs="Arial"/>
              </w:rPr>
              <w:t>6 - 10</w:t>
            </w:r>
          </w:p>
        </w:tc>
        <w:tc>
          <w:tcPr>
            <w:tcW w:w="1276" w:type="dxa"/>
          </w:tcPr>
          <w:p w:rsidR="009658F6" w:rsidRPr="0075352D" w:rsidRDefault="009658F6" w:rsidP="003111C8">
            <w:pPr>
              <w:rPr>
                <w:rFonts w:ascii="Arial" w:hAnsi="Arial" w:cs="Arial"/>
              </w:rPr>
            </w:pPr>
            <w:r w:rsidRPr="0075352D">
              <w:rPr>
                <w:rFonts w:ascii="Arial" w:hAnsi="Arial" w:cs="Arial"/>
              </w:rPr>
              <w:t>£500</w:t>
            </w:r>
          </w:p>
        </w:tc>
      </w:tr>
      <w:tr w:rsidR="009658F6" w:rsidRPr="0075352D" w:rsidTr="003111C8">
        <w:tc>
          <w:tcPr>
            <w:tcW w:w="1526" w:type="dxa"/>
          </w:tcPr>
          <w:p w:rsidR="009658F6" w:rsidRPr="0075352D" w:rsidRDefault="009658F6" w:rsidP="003111C8">
            <w:pPr>
              <w:rPr>
                <w:rFonts w:ascii="Arial" w:hAnsi="Arial" w:cs="Arial"/>
              </w:rPr>
            </w:pPr>
            <w:r w:rsidRPr="0075352D">
              <w:rPr>
                <w:rFonts w:ascii="Arial" w:hAnsi="Arial" w:cs="Arial"/>
              </w:rPr>
              <w:t>11 – 20</w:t>
            </w:r>
          </w:p>
        </w:tc>
        <w:tc>
          <w:tcPr>
            <w:tcW w:w="1276" w:type="dxa"/>
          </w:tcPr>
          <w:p w:rsidR="009658F6" w:rsidRPr="0075352D" w:rsidRDefault="009658F6" w:rsidP="003111C8">
            <w:pPr>
              <w:rPr>
                <w:rFonts w:ascii="Arial" w:hAnsi="Arial" w:cs="Arial"/>
              </w:rPr>
            </w:pPr>
            <w:r w:rsidRPr="0075352D">
              <w:rPr>
                <w:rFonts w:ascii="Arial" w:hAnsi="Arial" w:cs="Arial"/>
              </w:rPr>
              <w:t>£750</w:t>
            </w:r>
          </w:p>
        </w:tc>
      </w:tr>
      <w:tr w:rsidR="009658F6" w:rsidRPr="0075352D" w:rsidTr="003111C8">
        <w:tc>
          <w:tcPr>
            <w:tcW w:w="1526" w:type="dxa"/>
          </w:tcPr>
          <w:p w:rsidR="009658F6" w:rsidRPr="0075352D" w:rsidRDefault="009658F6" w:rsidP="003111C8">
            <w:pPr>
              <w:rPr>
                <w:rFonts w:ascii="Arial" w:hAnsi="Arial" w:cs="Arial"/>
              </w:rPr>
            </w:pPr>
            <w:r w:rsidRPr="0075352D">
              <w:rPr>
                <w:rFonts w:ascii="Arial" w:hAnsi="Arial" w:cs="Arial"/>
              </w:rPr>
              <w:t>21 – 30</w:t>
            </w:r>
          </w:p>
        </w:tc>
        <w:tc>
          <w:tcPr>
            <w:tcW w:w="1276" w:type="dxa"/>
          </w:tcPr>
          <w:p w:rsidR="009658F6" w:rsidRPr="0075352D" w:rsidRDefault="009658F6" w:rsidP="003111C8">
            <w:pPr>
              <w:rPr>
                <w:rFonts w:ascii="Arial" w:hAnsi="Arial" w:cs="Arial"/>
              </w:rPr>
            </w:pPr>
            <w:r w:rsidRPr="0075352D">
              <w:rPr>
                <w:rFonts w:ascii="Arial" w:hAnsi="Arial" w:cs="Arial"/>
              </w:rPr>
              <w:t>£1000</w:t>
            </w:r>
          </w:p>
        </w:tc>
      </w:tr>
      <w:tr w:rsidR="009658F6" w:rsidRPr="0075352D" w:rsidTr="003111C8">
        <w:tc>
          <w:tcPr>
            <w:tcW w:w="1526" w:type="dxa"/>
          </w:tcPr>
          <w:p w:rsidR="009658F6" w:rsidRPr="0075352D" w:rsidRDefault="009658F6" w:rsidP="003111C8">
            <w:pPr>
              <w:rPr>
                <w:rFonts w:ascii="Arial" w:hAnsi="Arial" w:cs="Arial"/>
              </w:rPr>
            </w:pPr>
            <w:r w:rsidRPr="0075352D">
              <w:rPr>
                <w:rFonts w:ascii="Arial" w:hAnsi="Arial" w:cs="Arial"/>
              </w:rPr>
              <w:t>31 – 40</w:t>
            </w:r>
          </w:p>
        </w:tc>
        <w:tc>
          <w:tcPr>
            <w:tcW w:w="1276" w:type="dxa"/>
          </w:tcPr>
          <w:p w:rsidR="009658F6" w:rsidRPr="0075352D" w:rsidRDefault="009658F6" w:rsidP="003111C8">
            <w:pPr>
              <w:rPr>
                <w:rFonts w:ascii="Arial" w:hAnsi="Arial" w:cs="Arial"/>
              </w:rPr>
            </w:pPr>
            <w:r w:rsidRPr="0075352D">
              <w:rPr>
                <w:rFonts w:ascii="Arial" w:hAnsi="Arial" w:cs="Arial"/>
              </w:rPr>
              <w:t>£2500</w:t>
            </w:r>
          </w:p>
        </w:tc>
      </w:tr>
      <w:tr w:rsidR="009658F6" w:rsidRPr="0075352D" w:rsidTr="003111C8">
        <w:tc>
          <w:tcPr>
            <w:tcW w:w="1526" w:type="dxa"/>
          </w:tcPr>
          <w:p w:rsidR="009658F6" w:rsidRPr="0075352D" w:rsidRDefault="009658F6" w:rsidP="003111C8">
            <w:pPr>
              <w:rPr>
                <w:rFonts w:ascii="Arial" w:hAnsi="Arial" w:cs="Arial"/>
              </w:rPr>
            </w:pPr>
            <w:r w:rsidRPr="0075352D">
              <w:rPr>
                <w:rFonts w:ascii="Arial" w:hAnsi="Arial" w:cs="Arial"/>
              </w:rPr>
              <w:t xml:space="preserve">41 – 50 </w:t>
            </w:r>
          </w:p>
        </w:tc>
        <w:tc>
          <w:tcPr>
            <w:tcW w:w="1276" w:type="dxa"/>
          </w:tcPr>
          <w:p w:rsidR="009658F6" w:rsidRPr="0075352D" w:rsidRDefault="009658F6" w:rsidP="003111C8">
            <w:pPr>
              <w:rPr>
                <w:rFonts w:ascii="Arial" w:hAnsi="Arial" w:cs="Arial"/>
              </w:rPr>
            </w:pPr>
            <w:r w:rsidRPr="0075352D">
              <w:rPr>
                <w:rFonts w:ascii="Arial" w:hAnsi="Arial" w:cs="Arial"/>
              </w:rPr>
              <w:t>£5000</w:t>
            </w:r>
          </w:p>
        </w:tc>
      </w:tr>
      <w:tr w:rsidR="009658F6" w:rsidRPr="0075352D" w:rsidTr="003111C8">
        <w:tc>
          <w:tcPr>
            <w:tcW w:w="1526" w:type="dxa"/>
          </w:tcPr>
          <w:p w:rsidR="009658F6" w:rsidRPr="0075352D" w:rsidRDefault="009658F6" w:rsidP="003111C8">
            <w:pPr>
              <w:rPr>
                <w:rFonts w:ascii="Arial" w:hAnsi="Arial" w:cs="Arial"/>
              </w:rPr>
            </w:pPr>
            <w:r w:rsidRPr="0075352D">
              <w:rPr>
                <w:rFonts w:ascii="Arial" w:hAnsi="Arial" w:cs="Arial"/>
              </w:rPr>
              <w:t>51 – 60</w:t>
            </w:r>
          </w:p>
        </w:tc>
        <w:tc>
          <w:tcPr>
            <w:tcW w:w="1276" w:type="dxa"/>
          </w:tcPr>
          <w:p w:rsidR="009658F6" w:rsidRPr="0075352D" w:rsidRDefault="009658F6" w:rsidP="003111C8">
            <w:pPr>
              <w:rPr>
                <w:rFonts w:ascii="Arial" w:hAnsi="Arial" w:cs="Arial"/>
              </w:rPr>
            </w:pPr>
            <w:r w:rsidRPr="0075352D">
              <w:rPr>
                <w:rFonts w:ascii="Arial" w:hAnsi="Arial" w:cs="Arial"/>
              </w:rPr>
              <w:t>£10,000</w:t>
            </w:r>
          </w:p>
        </w:tc>
      </w:tr>
      <w:tr w:rsidR="009658F6" w:rsidRPr="0075352D" w:rsidTr="003111C8">
        <w:tc>
          <w:tcPr>
            <w:tcW w:w="1526" w:type="dxa"/>
          </w:tcPr>
          <w:p w:rsidR="009658F6" w:rsidRPr="0075352D" w:rsidRDefault="009658F6" w:rsidP="003111C8">
            <w:pPr>
              <w:rPr>
                <w:rFonts w:ascii="Arial" w:hAnsi="Arial" w:cs="Arial"/>
              </w:rPr>
            </w:pPr>
            <w:r w:rsidRPr="0075352D">
              <w:rPr>
                <w:rFonts w:ascii="Arial" w:hAnsi="Arial" w:cs="Arial"/>
              </w:rPr>
              <w:t>61 – 70</w:t>
            </w:r>
          </w:p>
        </w:tc>
        <w:tc>
          <w:tcPr>
            <w:tcW w:w="1276" w:type="dxa"/>
          </w:tcPr>
          <w:p w:rsidR="009658F6" w:rsidRPr="0075352D" w:rsidRDefault="009658F6" w:rsidP="003111C8">
            <w:pPr>
              <w:rPr>
                <w:rFonts w:ascii="Arial" w:hAnsi="Arial" w:cs="Arial"/>
              </w:rPr>
            </w:pPr>
            <w:r w:rsidRPr="0075352D">
              <w:rPr>
                <w:rFonts w:ascii="Arial" w:hAnsi="Arial" w:cs="Arial"/>
              </w:rPr>
              <w:t>£15,000</w:t>
            </w:r>
          </w:p>
        </w:tc>
      </w:tr>
      <w:tr w:rsidR="009658F6" w:rsidRPr="0075352D" w:rsidTr="003111C8">
        <w:tc>
          <w:tcPr>
            <w:tcW w:w="1526" w:type="dxa"/>
          </w:tcPr>
          <w:p w:rsidR="009658F6" w:rsidRPr="0075352D" w:rsidRDefault="009658F6" w:rsidP="003111C8">
            <w:pPr>
              <w:rPr>
                <w:rFonts w:ascii="Arial" w:hAnsi="Arial" w:cs="Arial"/>
              </w:rPr>
            </w:pPr>
            <w:r w:rsidRPr="0075352D">
              <w:rPr>
                <w:rFonts w:ascii="Arial" w:hAnsi="Arial" w:cs="Arial"/>
              </w:rPr>
              <w:t>71 – 80</w:t>
            </w:r>
          </w:p>
        </w:tc>
        <w:tc>
          <w:tcPr>
            <w:tcW w:w="1276" w:type="dxa"/>
          </w:tcPr>
          <w:p w:rsidR="009658F6" w:rsidRPr="0075352D" w:rsidRDefault="009658F6" w:rsidP="003111C8">
            <w:pPr>
              <w:rPr>
                <w:rFonts w:ascii="Arial" w:hAnsi="Arial" w:cs="Arial"/>
              </w:rPr>
            </w:pPr>
            <w:r w:rsidRPr="0075352D">
              <w:rPr>
                <w:rFonts w:ascii="Arial" w:hAnsi="Arial" w:cs="Arial"/>
              </w:rPr>
              <w:t>£20,000</w:t>
            </w:r>
          </w:p>
        </w:tc>
      </w:tr>
      <w:tr w:rsidR="009658F6" w:rsidRPr="0075352D" w:rsidTr="003111C8">
        <w:tc>
          <w:tcPr>
            <w:tcW w:w="1526" w:type="dxa"/>
          </w:tcPr>
          <w:p w:rsidR="009658F6" w:rsidRPr="0075352D" w:rsidRDefault="009658F6" w:rsidP="003111C8">
            <w:pPr>
              <w:rPr>
                <w:rFonts w:ascii="Arial" w:hAnsi="Arial" w:cs="Arial"/>
              </w:rPr>
            </w:pPr>
            <w:r w:rsidRPr="0075352D">
              <w:rPr>
                <w:rFonts w:ascii="Arial" w:hAnsi="Arial" w:cs="Arial"/>
              </w:rPr>
              <w:t>81 – 90</w:t>
            </w:r>
          </w:p>
        </w:tc>
        <w:tc>
          <w:tcPr>
            <w:tcW w:w="1276" w:type="dxa"/>
          </w:tcPr>
          <w:p w:rsidR="009658F6" w:rsidRPr="0075352D" w:rsidRDefault="009658F6" w:rsidP="003111C8">
            <w:pPr>
              <w:rPr>
                <w:rFonts w:ascii="Arial" w:hAnsi="Arial" w:cs="Arial"/>
              </w:rPr>
            </w:pPr>
            <w:r w:rsidRPr="0075352D">
              <w:rPr>
                <w:rFonts w:ascii="Arial" w:hAnsi="Arial" w:cs="Arial"/>
              </w:rPr>
              <w:t>£25,000</w:t>
            </w:r>
          </w:p>
        </w:tc>
      </w:tr>
      <w:tr w:rsidR="009658F6" w:rsidRPr="0075352D" w:rsidTr="003111C8">
        <w:tc>
          <w:tcPr>
            <w:tcW w:w="1526" w:type="dxa"/>
          </w:tcPr>
          <w:p w:rsidR="009658F6" w:rsidRPr="0075352D" w:rsidRDefault="009658F6" w:rsidP="003111C8">
            <w:pPr>
              <w:rPr>
                <w:rFonts w:ascii="Arial" w:hAnsi="Arial" w:cs="Arial"/>
              </w:rPr>
            </w:pPr>
            <w:r w:rsidRPr="0075352D">
              <w:rPr>
                <w:rFonts w:ascii="Arial" w:hAnsi="Arial" w:cs="Arial"/>
              </w:rPr>
              <w:t>91 - 100</w:t>
            </w:r>
          </w:p>
        </w:tc>
        <w:tc>
          <w:tcPr>
            <w:tcW w:w="1276" w:type="dxa"/>
          </w:tcPr>
          <w:p w:rsidR="009658F6" w:rsidRPr="0075352D" w:rsidRDefault="009658F6" w:rsidP="003111C8">
            <w:pPr>
              <w:rPr>
                <w:rFonts w:ascii="Arial" w:hAnsi="Arial" w:cs="Arial"/>
              </w:rPr>
            </w:pPr>
            <w:r w:rsidRPr="0075352D">
              <w:rPr>
                <w:rFonts w:ascii="Arial" w:hAnsi="Arial" w:cs="Arial"/>
              </w:rPr>
              <w:t>£30,000</w:t>
            </w:r>
          </w:p>
        </w:tc>
      </w:tr>
    </w:tbl>
    <w:p w:rsidR="009658F6" w:rsidRPr="0075352D" w:rsidRDefault="009658F6" w:rsidP="009658F6">
      <w:pPr>
        <w:rPr>
          <w:rFonts w:ascii="Arial" w:hAnsi="Arial" w:cs="Arial"/>
          <w:sz w:val="24"/>
          <w:szCs w:val="24"/>
        </w:rPr>
      </w:pPr>
      <w:r w:rsidRPr="0075352D">
        <w:rPr>
          <w:rFonts w:ascii="Arial" w:hAnsi="Arial" w:cs="Arial"/>
          <w:sz w:val="24"/>
          <w:szCs w:val="24"/>
        </w:rPr>
        <w:t xml:space="preserve">Scoring regime – </w:t>
      </w:r>
    </w:p>
    <w:p w:rsidR="009658F6" w:rsidRPr="0075352D" w:rsidRDefault="009658F6" w:rsidP="009658F6">
      <w:pPr>
        <w:numPr>
          <w:ilvl w:val="0"/>
          <w:numId w:val="4"/>
        </w:numPr>
        <w:contextualSpacing/>
        <w:rPr>
          <w:rFonts w:ascii="Arial" w:hAnsi="Arial" w:cs="Arial"/>
          <w:sz w:val="24"/>
          <w:szCs w:val="24"/>
        </w:rPr>
      </w:pPr>
      <w:r w:rsidRPr="0075352D">
        <w:rPr>
          <w:rFonts w:ascii="Arial" w:hAnsi="Arial" w:cs="Arial"/>
          <w:sz w:val="24"/>
          <w:szCs w:val="24"/>
        </w:rPr>
        <w:t>Each row should be scored in order with only one option being chosen for each row.</w:t>
      </w:r>
    </w:p>
    <w:p w:rsidR="009658F6" w:rsidRPr="0075352D" w:rsidRDefault="009658F6" w:rsidP="009658F6">
      <w:pPr>
        <w:numPr>
          <w:ilvl w:val="0"/>
          <w:numId w:val="4"/>
        </w:numPr>
        <w:contextualSpacing/>
        <w:rPr>
          <w:rFonts w:ascii="Arial" w:hAnsi="Arial" w:cs="Arial"/>
          <w:sz w:val="24"/>
          <w:szCs w:val="24"/>
        </w:rPr>
      </w:pPr>
      <w:r w:rsidRPr="0075352D">
        <w:rPr>
          <w:rFonts w:ascii="Arial" w:hAnsi="Arial" w:cs="Arial"/>
          <w:sz w:val="24"/>
          <w:szCs w:val="24"/>
        </w:rPr>
        <w:t>All rows must be scored.</w:t>
      </w:r>
    </w:p>
    <w:p w:rsidR="009658F6" w:rsidRPr="0075352D" w:rsidRDefault="009658F6" w:rsidP="009658F6">
      <w:pPr>
        <w:numPr>
          <w:ilvl w:val="0"/>
          <w:numId w:val="4"/>
        </w:numPr>
        <w:contextualSpacing/>
        <w:rPr>
          <w:rFonts w:ascii="Arial" w:hAnsi="Arial" w:cs="Arial"/>
          <w:sz w:val="24"/>
          <w:szCs w:val="24"/>
        </w:rPr>
      </w:pPr>
      <w:r w:rsidRPr="0075352D">
        <w:rPr>
          <w:rFonts w:ascii="Arial" w:hAnsi="Arial" w:cs="Arial"/>
          <w:sz w:val="24"/>
          <w:szCs w:val="24"/>
        </w:rPr>
        <w:t>Note the score in the Total column.</w:t>
      </w:r>
    </w:p>
    <w:p w:rsidR="009658F6" w:rsidRPr="0075352D" w:rsidRDefault="009658F6" w:rsidP="009658F6">
      <w:pPr>
        <w:numPr>
          <w:ilvl w:val="0"/>
          <w:numId w:val="4"/>
        </w:numPr>
        <w:contextualSpacing/>
        <w:rPr>
          <w:rFonts w:ascii="Arial" w:hAnsi="Arial" w:cs="Arial"/>
          <w:sz w:val="24"/>
          <w:szCs w:val="24"/>
        </w:rPr>
      </w:pPr>
      <w:r w:rsidRPr="0075352D">
        <w:rPr>
          <w:rFonts w:ascii="Arial" w:hAnsi="Arial" w:cs="Arial"/>
          <w:sz w:val="24"/>
          <w:szCs w:val="24"/>
        </w:rPr>
        <w:t>Factor 4 – harm to tenants has an additional weighting, which will double the selected score.</w:t>
      </w:r>
    </w:p>
    <w:p w:rsidR="000D0233" w:rsidRDefault="009658F6" w:rsidP="000D0233">
      <w:pPr>
        <w:numPr>
          <w:ilvl w:val="0"/>
          <w:numId w:val="4"/>
        </w:numPr>
        <w:ind w:firstLine="360"/>
        <w:contextualSpacing/>
        <w:rPr>
          <w:rFonts w:ascii="Arial" w:hAnsi="Arial" w:cs="Arial"/>
          <w:sz w:val="24"/>
          <w:szCs w:val="24"/>
        </w:rPr>
      </w:pPr>
      <w:r w:rsidRPr="000D0233">
        <w:rPr>
          <w:rFonts w:ascii="Arial" w:hAnsi="Arial" w:cs="Arial"/>
          <w:sz w:val="24"/>
          <w:szCs w:val="24"/>
        </w:rPr>
        <w:t>In the final cell at the bottom of this column insert the final</w:t>
      </w:r>
      <w:r w:rsidR="000D0233" w:rsidRPr="000D0233">
        <w:rPr>
          <w:rFonts w:ascii="Arial" w:hAnsi="Arial" w:cs="Arial"/>
          <w:sz w:val="24"/>
          <w:szCs w:val="24"/>
        </w:rPr>
        <w:t xml:space="preserve"> </w:t>
      </w:r>
      <w:r w:rsidRPr="000D0233">
        <w:rPr>
          <w:rFonts w:ascii="Arial" w:hAnsi="Arial" w:cs="Arial"/>
          <w:sz w:val="24"/>
          <w:szCs w:val="24"/>
        </w:rPr>
        <w:t>total.</w:t>
      </w:r>
    </w:p>
    <w:p w:rsidR="00F1106E" w:rsidRPr="000D0233" w:rsidRDefault="009658F6" w:rsidP="000D0233">
      <w:pPr>
        <w:numPr>
          <w:ilvl w:val="0"/>
          <w:numId w:val="4"/>
        </w:numPr>
        <w:ind w:firstLine="360"/>
        <w:contextualSpacing/>
        <w:rPr>
          <w:rFonts w:ascii="Arial" w:hAnsi="Arial" w:cs="Arial"/>
          <w:sz w:val="24"/>
          <w:szCs w:val="24"/>
        </w:rPr>
      </w:pPr>
      <w:r w:rsidRPr="000D0233">
        <w:rPr>
          <w:rFonts w:ascii="Arial" w:hAnsi="Arial" w:cs="Arial"/>
          <w:sz w:val="24"/>
          <w:szCs w:val="24"/>
        </w:rPr>
        <w:t xml:space="preserve">The score should then be compared to the sliding </w:t>
      </w:r>
      <w:r w:rsidR="00542306">
        <w:rPr>
          <w:rFonts w:ascii="Arial" w:hAnsi="Arial" w:cs="Arial"/>
          <w:sz w:val="24"/>
          <w:szCs w:val="24"/>
        </w:rPr>
        <w:t>s</w:t>
      </w:r>
      <w:r w:rsidRPr="000D0233">
        <w:rPr>
          <w:rFonts w:ascii="Arial" w:hAnsi="Arial" w:cs="Arial"/>
          <w:sz w:val="24"/>
          <w:szCs w:val="24"/>
        </w:rPr>
        <w:t>cale of enforcement fee to be levied</w:t>
      </w:r>
    </w:p>
    <w:p w:rsidR="00A770A5" w:rsidRPr="0075352D" w:rsidRDefault="00A770A5" w:rsidP="003B653C">
      <w:pPr>
        <w:contextualSpacing/>
        <w:rPr>
          <w:rFonts w:ascii="Arial" w:hAnsi="Arial" w:cs="Arial"/>
          <w:sz w:val="24"/>
          <w:szCs w:val="24"/>
        </w:rPr>
      </w:pPr>
    </w:p>
    <w:p w:rsidR="00542306" w:rsidRDefault="00542306" w:rsidP="0075352D">
      <w:pPr>
        <w:contextualSpacing/>
        <w:rPr>
          <w:rFonts w:ascii="Arial" w:hAnsi="Arial" w:cs="Arial"/>
          <w:sz w:val="24"/>
          <w:szCs w:val="24"/>
        </w:rPr>
      </w:pPr>
    </w:p>
    <w:p w:rsidR="00542306" w:rsidRDefault="00542306" w:rsidP="0075352D">
      <w:pPr>
        <w:contextualSpacing/>
        <w:rPr>
          <w:rFonts w:ascii="Arial" w:hAnsi="Arial" w:cs="Arial"/>
          <w:sz w:val="24"/>
          <w:szCs w:val="24"/>
        </w:rPr>
      </w:pPr>
    </w:p>
    <w:p w:rsidR="0075352D" w:rsidRPr="0075352D" w:rsidRDefault="0075352D" w:rsidP="0075352D">
      <w:pPr>
        <w:contextualSpacing/>
        <w:rPr>
          <w:rFonts w:ascii="Arial" w:hAnsi="Arial" w:cs="Arial"/>
          <w:sz w:val="24"/>
          <w:szCs w:val="24"/>
        </w:rPr>
      </w:pPr>
      <w:r w:rsidRPr="0075352D">
        <w:rPr>
          <w:rFonts w:ascii="Arial" w:hAnsi="Arial" w:cs="Arial"/>
          <w:sz w:val="24"/>
          <w:szCs w:val="24"/>
        </w:rPr>
        <w:t xml:space="preserve">Non exhaustive list of vulnerable occupiers </w:t>
      </w:r>
    </w:p>
    <w:p w:rsidR="0075352D" w:rsidRPr="0075352D" w:rsidRDefault="0075352D" w:rsidP="0075352D">
      <w:pPr>
        <w:contextualSpacing/>
        <w:rPr>
          <w:rFonts w:ascii="Arial" w:hAnsi="Arial" w:cs="Arial"/>
          <w:sz w:val="24"/>
          <w:szCs w:val="24"/>
        </w:rPr>
      </w:pPr>
      <w:r w:rsidRPr="0075352D">
        <w:rPr>
          <w:rFonts w:ascii="Arial" w:hAnsi="Arial" w:cs="Arial"/>
          <w:sz w:val="24"/>
          <w:szCs w:val="24"/>
        </w:rPr>
        <w:t xml:space="preserve">Young adults and children </w:t>
      </w:r>
    </w:p>
    <w:p w:rsidR="0075352D" w:rsidRPr="0075352D" w:rsidRDefault="0075352D" w:rsidP="0075352D">
      <w:pPr>
        <w:contextualSpacing/>
        <w:rPr>
          <w:rFonts w:ascii="Arial" w:hAnsi="Arial" w:cs="Arial"/>
          <w:sz w:val="24"/>
          <w:szCs w:val="24"/>
        </w:rPr>
      </w:pPr>
      <w:r w:rsidRPr="0075352D">
        <w:rPr>
          <w:rFonts w:ascii="Arial" w:hAnsi="Arial" w:cs="Arial"/>
          <w:sz w:val="24"/>
          <w:szCs w:val="24"/>
        </w:rPr>
        <w:t xml:space="preserve">Disabled persons </w:t>
      </w:r>
    </w:p>
    <w:p w:rsidR="0075352D" w:rsidRPr="0075352D" w:rsidRDefault="0075352D" w:rsidP="0075352D">
      <w:pPr>
        <w:contextualSpacing/>
        <w:rPr>
          <w:rFonts w:ascii="Arial" w:hAnsi="Arial" w:cs="Arial"/>
          <w:sz w:val="24"/>
          <w:szCs w:val="24"/>
        </w:rPr>
      </w:pPr>
      <w:r w:rsidRPr="0075352D">
        <w:rPr>
          <w:rFonts w:ascii="Arial" w:hAnsi="Arial" w:cs="Arial"/>
          <w:sz w:val="24"/>
          <w:szCs w:val="24"/>
        </w:rPr>
        <w:t xml:space="preserve">People on a low income </w:t>
      </w:r>
    </w:p>
    <w:p w:rsidR="0075352D" w:rsidRPr="0075352D" w:rsidRDefault="0075352D" w:rsidP="0075352D">
      <w:pPr>
        <w:contextualSpacing/>
        <w:rPr>
          <w:rFonts w:ascii="Arial" w:hAnsi="Arial" w:cs="Arial"/>
          <w:sz w:val="24"/>
          <w:szCs w:val="24"/>
        </w:rPr>
      </w:pPr>
      <w:r w:rsidRPr="0075352D">
        <w:rPr>
          <w:rFonts w:ascii="Arial" w:hAnsi="Arial" w:cs="Arial"/>
          <w:sz w:val="24"/>
          <w:szCs w:val="24"/>
        </w:rPr>
        <w:t xml:space="preserve">Persons with a Drug or alcohol addiction </w:t>
      </w:r>
    </w:p>
    <w:p w:rsidR="0075352D" w:rsidRPr="0075352D" w:rsidRDefault="0075352D" w:rsidP="0075352D">
      <w:pPr>
        <w:contextualSpacing/>
        <w:rPr>
          <w:rFonts w:ascii="Arial" w:hAnsi="Arial" w:cs="Arial"/>
          <w:sz w:val="24"/>
          <w:szCs w:val="24"/>
        </w:rPr>
      </w:pPr>
      <w:r w:rsidRPr="0075352D">
        <w:rPr>
          <w:rFonts w:ascii="Arial" w:hAnsi="Arial" w:cs="Arial"/>
          <w:sz w:val="24"/>
          <w:szCs w:val="24"/>
        </w:rPr>
        <w:t xml:space="preserve">Victims of domestic abuse </w:t>
      </w:r>
    </w:p>
    <w:p w:rsidR="0075352D" w:rsidRPr="0075352D" w:rsidRDefault="0075352D" w:rsidP="0075352D">
      <w:pPr>
        <w:contextualSpacing/>
        <w:rPr>
          <w:rFonts w:ascii="Arial" w:hAnsi="Arial" w:cs="Arial"/>
          <w:sz w:val="24"/>
          <w:szCs w:val="24"/>
        </w:rPr>
      </w:pPr>
      <w:r w:rsidRPr="0075352D">
        <w:rPr>
          <w:rFonts w:ascii="Arial" w:hAnsi="Arial" w:cs="Arial"/>
          <w:sz w:val="24"/>
          <w:szCs w:val="24"/>
        </w:rPr>
        <w:t xml:space="preserve">Looked after children </w:t>
      </w:r>
    </w:p>
    <w:p w:rsidR="0075352D" w:rsidRPr="0075352D" w:rsidRDefault="0075352D" w:rsidP="0075352D">
      <w:pPr>
        <w:contextualSpacing/>
        <w:rPr>
          <w:rFonts w:ascii="Arial" w:hAnsi="Arial" w:cs="Arial"/>
          <w:sz w:val="24"/>
          <w:szCs w:val="24"/>
        </w:rPr>
      </w:pPr>
      <w:r w:rsidRPr="0075352D">
        <w:rPr>
          <w:rFonts w:ascii="Arial" w:hAnsi="Arial" w:cs="Arial"/>
          <w:sz w:val="24"/>
          <w:szCs w:val="24"/>
        </w:rPr>
        <w:t xml:space="preserve">People with complex health conditions </w:t>
      </w:r>
    </w:p>
    <w:p w:rsidR="0075352D" w:rsidRPr="0075352D" w:rsidRDefault="0075352D" w:rsidP="0075352D">
      <w:pPr>
        <w:contextualSpacing/>
        <w:rPr>
          <w:rFonts w:ascii="Arial" w:hAnsi="Arial" w:cs="Arial"/>
          <w:sz w:val="24"/>
          <w:szCs w:val="24"/>
        </w:rPr>
      </w:pPr>
      <w:r w:rsidRPr="0075352D">
        <w:rPr>
          <w:rFonts w:ascii="Arial" w:hAnsi="Arial" w:cs="Arial"/>
          <w:sz w:val="24"/>
          <w:szCs w:val="24"/>
        </w:rPr>
        <w:t>People exploited where English is not their first language</w:t>
      </w:r>
    </w:p>
    <w:p w:rsidR="0075352D" w:rsidRPr="0075352D" w:rsidRDefault="0075352D" w:rsidP="0075352D">
      <w:pPr>
        <w:contextualSpacing/>
        <w:rPr>
          <w:rFonts w:ascii="Arial" w:hAnsi="Arial" w:cs="Arial"/>
          <w:sz w:val="24"/>
          <w:szCs w:val="24"/>
        </w:rPr>
      </w:pPr>
      <w:r w:rsidRPr="0075352D">
        <w:rPr>
          <w:rFonts w:ascii="Arial" w:hAnsi="Arial" w:cs="Arial"/>
          <w:sz w:val="24"/>
          <w:szCs w:val="24"/>
        </w:rPr>
        <w:t xml:space="preserve">Victims of Trafficking or sexual exploitation </w:t>
      </w:r>
    </w:p>
    <w:p w:rsidR="0075352D" w:rsidRPr="0075352D" w:rsidRDefault="0075352D" w:rsidP="0075352D">
      <w:pPr>
        <w:contextualSpacing/>
        <w:rPr>
          <w:rFonts w:ascii="Arial" w:hAnsi="Arial" w:cs="Arial"/>
          <w:sz w:val="24"/>
          <w:szCs w:val="24"/>
        </w:rPr>
      </w:pPr>
      <w:r w:rsidRPr="0075352D">
        <w:rPr>
          <w:rFonts w:ascii="Arial" w:hAnsi="Arial" w:cs="Arial"/>
          <w:sz w:val="24"/>
          <w:szCs w:val="24"/>
        </w:rPr>
        <w:t xml:space="preserve">Refugees </w:t>
      </w:r>
    </w:p>
    <w:p w:rsidR="0075352D" w:rsidRPr="0075352D" w:rsidRDefault="0075352D" w:rsidP="0075352D">
      <w:pPr>
        <w:contextualSpacing/>
        <w:rPr>
          <w:rFonts w:ascii="Arial" w:hAnsi="Arial" w:cs="Arial"/>
          <w:sz w:val="24"/>
          <w:szCs w:val="24"/>
        </w:rPr>
      </w:pPr>
      <w:r w:rsidRPr="0075352D">
        <w:rPr>
          <w:rFonts w:ascii="Arial" w:hAnsi="Arial" w:cs="Arial"/>
          <w:sz w:val="24"/>
          <w:szCs w:val="24"/>
        </w:rPr>
        <w:t xml:space="preserve">Asylum seekers </w:t>
      </w:r>
    </w:p>
    <w:p w:rsidR="0075352D" w:rsidRPr="0075352D" w:rsidRDefault="0075352D" w:rsidP="0075352D">
      <w:pPr>
        <w:contextualSpacing/>
        <w:rPr>
          <w:rFonts w:ascii="Arial" w:hAnsi="Arial" w:cs="Arial"/>
          <w:sz w:val="24"/>
          <w:szCs w:val="24"/>
        </w:rPr>
      </w:pPr>
      <w:r w:rsidRPr="0075352D">
        <w:rPr>
          <w:rFonts w:ascii="Arial" w:hAnsi="Arial" w:cs="Arial"/>
          <w:sz w:val="24"/>
          <w:szCs w:val="24"/>
        </w:rPr>
        <w:t xml:space="preserve">People at risk of harassment or eviction </w:t>
      </w:r>
    </w:p>
    <w:p w:rsidR="00542306" w:rsidRDefault="0075352D" w:rsidP="003B653C">
      <w:pPr>
        <w:contextualSpacing/>
        <w:rPr>
          <w:rFonts w:ascii="Arial" w:hAnsi="Arial" w:cs="Arial"/>
          <w:sz w:val="24"/>
          <w:szCs w:val="24"/>
        </w:rPr>
      </w:pPr>
      <w:r w:rsidRPr="0075352D">
        <w:rPr>
          <w:rFonts w:ascii="Arial" w:hAnsi="Arial" w:cs="Arial"/>
          <w:sz w:val="24"/>
          <w:szCs w:val="24"/>
        </w:rPr>
        <w:t>People at risk of homelessness</w:t>
      </w:r>
    </w:p>
    <w:p w:rsidR="00F31E66" w:rsidRDefault="00F31E66" w:rsidP="003B653C">
      <w:pPr>
        <w:contextualSpacing/>
        <w:rPr>
          <w:rFonts w:ascii="Arial" w:hAnsi="Arial" w:cs="Arial"/>
          <w:sz w:val="24"/>
          <w:szCs w:val="24"/>
        </w:rPr>
      </w:pPr>
    </w:p>
    <w:p w:rsidR="00F31E66" w:rsidRDefault="00F31E66" w:rsidP="003B653C">
      <w:pPr>
        <w:contextualSpacing/>
        <w:rPr>
          <w:rFonts w:ascii="Arial" w:hAnsi="Arial" w:cs="Arial"/>
          <w:sz w:val="24"/>
          <w:szCs w:val="24"/>
        </w:rPr>
        <w:sectPr w:rsidR="00F31E66" w:rsidSect="00542306">
          <w:pgSz w:w="16838" w:h="11906" w:orient="landscape"/>
          <w:pgMar w:top="1440" w:right="1440" w:bottom="1440" w:left="1440" w:header="709" w:footer="709" w:gutter="0"/>
          <w:cols w:space="708"/>
          <w:docGrid w:linePitch="360"/>
        </w:sectPr>
      </w:pPr>
    </w:p>
    <w:p w:rsidR="004D1F1E" w:rsidRDefault="004D1F1E" w:rsidP="00F31E66"/>
    <w:sectPr w:rsidR="004D1F1E" w:rsidSect="0054230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FB" w:rsidRDefault="005B5CFB" w:rsidP="00502292">
      <w:pPr>
        <w:spacing w:after="0" w:line="240" w:lineRule="auto"/>
      </w:pPr>
      <w:r>
        <w:separator/>
      </w:r>
    </w:p>
  </w:endnote>
  <w:endnote w:type="continuationSeparator" w:id="0">
    <w:p w:rsidR="005B5CFB" w:rsidRDefault="005B5CFB" w:rsidP="0050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FB" w:rsidRDefault="005B5CFB" w:rsidP="00502292">
      <w:pPr>
        <w:spacing w:after="0" w:line="240" w:lineRule="auto"/>
      </w:pPr>
      <w:r>
        <w:separator/>
      </w:r>
    </w:p>
  </w:footnote>
  <w:footnote w:type="continuationSeparator" w:id="0">
    <w:p w:rsidR="005B5CFB" w:rsidRDefault="005B5CFB" w:rsidP="00502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6E" w:rsidRPr="003B653C" w:rsidRDefault="00F1106E">
    <w:pPr>
      <w:pStyle w:val="Head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6EA4"/>
    <w:multiLevelType w:val="hybridMultilevel"/>
    <w:tmpl w:val="BBD43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7022B4"/>
    <w:multiLevelType w:val="hybridMultilevel"/>
    <w:tmpl w:val="2482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7C62C6"/>
    <w:multiLevelType w:val="hybridMultilevel"/>
    <w:tmpl w:val="BCDCF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3E0024"/>
    <w:multiLevelType w:val="hybridMultilevel"/>
    <w:tmpl w:val="021AE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B97169"/>
    <w:multiLevelType w:val="multilevel"/>
    <w:tmpl w:val="EE0CF6EE"/>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CE"/>
    <w:rsid w:val="00015974"/>
    <w:rsid w:val="000B69AA"/>
    <w:rsid w:val="000D0233"/>
    <w:rsid w:val="000D4801"/>
    <w:rsid w:val="001208DD"/>
    <w:rsid w:val="001309F1"/>
    <w:rsid w:val="00135324"/>
    <w:rsid w:val="00163DFD"/>
    <w:rsid w:val="001B7E51"/>
    <w:rsid w:val="001D1430"/>
    <w:rsid w:val="001F7276"/>
    <w:rsid w:val="00205240"/>
    <w:rsid w:val="00222B7D"/>
    <w:rsid w:val="00227EAD"/>
    <w:rsid w:val="00245F42"/>
    <w:rsid w:val="00285ED3"/>
    <w:rsid w:val="002B1E65"/>
    <w:rsid w:val="002D289B"/>
    <w:rsid w:val="002E76EF"/>
    <w:rsid w:val="00313892"/>
    <w:rsid w:val="00320EF9"/>
    <w:rsid w:val="0035213C"/>
    <w:rsid w:val="00363D4D"/>
    <w:rsid w:val="00376EE0"/>
    <w:rsid w:val="003B653C"/>
    <w:rsid w:val="003D5B47"/>
    <w:rsid w:val="00404111"/>
    <w:rsid w:val="00405E95"/>
    <w:rsid w:val="00416BB8"/>
    <w:rsid w:val="004576B6"/>
    <w:rsid w:val="00457D60"/>
    <w:rsid w:val="004822A2"/>
    <w:rsid w:val="004903C7"/>
    <w:rsid w:val="004D1ABC"/>
    <w:rsid w:val="004D1F1E"/>
    <w:rsid w:val="004E4964"/>
    <w:rsid w:val="00502290"/>
    <w:rsid w:val="00502292"/>
    <w:rsid w:val="00542306"/>
    <w:rsid w:val="00542D8E"/>
    <w:rsid w:val="0054325E"/>
    <w:rsid w:val="005457A9"/>
    <w:rsid w:val="00547DCE"/>
    <w:rsid w:val="00570661"/>
    <w:rsid w:val="005721BF"/>
    <w:rsid w:val="005747AE"/>
    <w:rsid w:val="00574FDC"/>
    <w:rsid w:val="0058397D"/>
    <w:rsid w:val="005B5CFB"/>
    <w:rsid w:val="005C39A0"/>
    <w:rsid w:val="006144B6"/>
    <w:rsid w:val="0062705D"/>
    <w:rsid w:val="006353D1"/>
    <w:rsid w:val="00652396"/>
    <w:rsid w:val="00686133"/>
    <w:rsid w:val="006943FA"/>
    <w:rsid w:val="006C7711"/>
    <w:rsid w:val="006D39D5"/>
    <w:rsid w:val="006F1D9C"/>
    <w:rsid w:val="007035A7"/>
    <w:rsid w:val="0075352D"/>
    <w:rsid w:val="0078730B"/>
    <w:rsid w:val="00787644"/>
    <w:rsid w:val="007E3D16"/>
    <w:rsid w:val="007E6673"/>
    <w:rsid w:val="00820049"/>
    <w:rsid w:val="00853511"/>
    <w:rsid w:val="00864F8F"/>
    <w:rsid w:val="00866A94"/>
    <w:rsid w:val="00866B52"/>
    <w:rsid w:val="00882EAE"/>
    <w:rsid w:val="008D2BCB"/>
    <w:rsid w:val="00923FBB"/>
    <w:rsid w:val="009658F6"/>
    <w:rsid w:val="00970719"/>
    <w:rsid w:val="00982A11"/>
    <w:rsid w:val="00984C74"/>
    <w:rsid w:val="00992F43"/>
    <w:rsid w:val="009B742D"/>
    <w:rsid w:val="009F476A"/>
    <w:rsid w:val="00A4083F"/>
    <w:rsid w:val="00A61BC3"/>
    <w:rsid w:val="00A770A5"/>
    <w:rsid w:val="00AB0816"/>
    <w:rsid w:val="00AB0BC0"/>
    <w:rsid w:val="00AC3447"/>
    <w:rsid w:val="00AD470D"/>
    <w:rsid w:val="00AF601E"/>
    <w:rsid w:val="00B031A9"/>
    <w:rsid w:val="00B3612D"/>
    <w:rsid w:val="00B71D77"/>
    <w:rsid w:val="00B93676"/>
    <w:rsid w:val="00B955FF"/>
    <w:rsid w:val="00B956B2"/>
    <w:rsid w:val="00BB2F15"/>
    <w:rsid w:val="00BB31C4"/>
    <w:rsid w:val="00BD0563"/>
    <w:rsid w:val="00BE195B"/>
    <w:rsid w:val="00BE1AB9"/>
    <w:rsid w:val="00BE2201"/>
    <w:rsid w:val="00BE3B90"/>
    <w:rsid w:val="00BE4634"/>
    <w:rsid w:val="00C01A65"/>
    <w:rsid w:val="00C04BF7"/>
    <w:rsid w:val="00C52978"/>
    <w:rsid w:val="00C52B54"/>
    <w:rsid w:val="00C813A1"/>
    <w:rsid w:val="00C92DFB"/>
    <w:rsid w:val="00CB1A72"/>
    <w:rsid w:val="00CF2E8B"/>
    <w:rsid w:val="00D17A03"/>
    <w:rsid w:val="00D23C7C"/>
    <w:rsid w:val="00D31182"/>
    <w:rsid w:val="00D631C4"/>
    <w:rsid w:val="00D676A6"/>
    <w:rsid w:val="00D751B2"/>
    <w:rsid w:val="00D80540"/>
    <w:rsid w:val="00D82022"/>
    <w:rsid w:val="00DA5496"/>
    <w:rsid w:val="00DB1E89"/>
    <w:rsid w:val="00DC4B10"/>
    <w:rsid w:val="00DD1908"/>
    <w:rsid w:val="00DE4556"/>
    <w:rsid w:val="00DE45D8"/>
    <w:rsid w:val="00E276B6"/>
    <w:rsid w:val="00E30775"/>
    <w:rsid w:val="00E32737"/>
    <w:rsid w:val="00E377E4"/>
    <w:rsid w:val="00E64DD4"/>
    <w:rsid w:val="00EA4A07"/>
    <w:rsid w:val="00EE4EF1"/>
    <w:rsid w:val="00F1106E"/>
    <w:rsid w:val="00F17B76"/>
    <w:rsid w:val="00F31E66"/>
    <w:rsid w:val="00F32865"/>
    <w:rsid w:val="00F521BE"/>
    <w:rsid w:val="00F525FF"/>
    <w:rsid w:val="00F60C01"/>
    <w:rsid w:val="00F6233E"/>
    <w:rsid w:val="00FD0BE2"/>
    <w:rsid w:val="00FD1FEC"/>
    <w:rsid w:val="00FD5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9D5"/>
    <w:pPr>
      <w:ind w:left="720"/>
      <w:contextualSpacing/>
    </w:pPr>
  </w:style>
  <w:style w:type="character" w:styleId="Hyperlink">
    <w:name w:val="Hyperlink"/>
    <w:basedOn w:val="DefaultParagraphFont"/>
    <w:uiPriority w:val="99"/>
    <w:unhideWhenUsed/>
    <w:rsid w:val="00866A94"/>
    <w:rPr>
      <w:color w:val="0000FF" w:themeColor="hyperlink"/>
      <w:u w:val="single"/>
    </w:rPr>
  </w:style>
  <w:style w:type="table" w:styleId="TableGrid">
    <w:name w:val="Table Grid"/>
    <w:basedOn w:val="TableNormal"/>
    <w:uiPriority w:val="59"/>
    <w:rsid w:val="004D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511"/>
    <w:rPr>
      <w:rFonts w:ascii="Tahoma" w:hAnsi="Tahoma" w:cs="Tahoma"/>
      <w:sz w:val="16"/>
      <w:szCs w:val="16"/>
    </w:rPr>
  </w:style>
  <w:style w:type="paragraph" w:customStyle="1" w:styleId="Default">
    <w:name w:val="Default"/>
    <w:rsid w:val="00BE1AB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D1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292"/>
  </w:style>
  <w:style w:type="paragraph" w:styleId="Footer">
    <w:name w:val="footer"/>
    <w:basedOn w:val="Normal"/>
    <w:link w:val="FooterChar"/>
    <w:uiPriority w:val="99"/>
    <w:unhideWhenUsed/>
    <w:rsid w:val="00502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292"/>
  </w:style>
  <w:style w:type="character" w:styleId="CommentReference">
    <w:name w:val="annotation reference"/>
    <w:basedOn w:val="DefaultParagraphFont"/>
    <w:uiPriority w:val="99"/>
    <w:semiHidden/>
    <w:unhideWhenUsed/>
    <w:rsid w:val="00D631C4"/>
    <w:rPr>
      <w:sz w:val="16"/>
      <w:szCs w:val="16"/>
    </w:rPr>
  </w:style>
  <w:style w:type="paragraph" w:styleId="CommentText">
    <w:name w:val="annotation text"/>
    <w:basedOn w:val="Normal"/>
    <w:link w:val="CommentTextChar"/>
    <w:uiPriority w:val="99"/>
    <w:semiHidden/>
    <w:unhideWhenUsed/>
    <w:rsid w:val="00D631C4"/>
    <w:pPr>
      <w:spacing w:line="240" w:lineRule="auto"/>
    </w:pPr>
    <w:rPr>
      <w:sz w:val="20"/>
      <w:szCs w:val="20"/>
    </w:rPr>
  </w:style>
  <w:style w:type="character" w:customStyle="1" w:styleId="CommentTextChar">
    <w:name w:val="Comment Text Char"/>
    <w:basedOn w:val="DefaultParagraphFont"/>
    <w:link w:val="CommentText"/>
    <w:uiPriority w:val="99"/>
    <w:semiHidden/>
    <w:rsid w:val="00D631C4"/>
    <w:rPr>
      <w:sz w:val="20"/>
      <w:szCs w:val="20"/>
    </w:rPr>
  </w:style>
  <w:style w:type="paragraph" w:styleId="CommentSubject">
    <w:name w:val="annotation subject"/>
    <w:basedOn w:val="CommentText"/>
    <w:next w:val="CommentText"/>
    <w:link w:val="CommentSubjectChar"/>
    <w:uiPriority w:val="99"/>
    <w:semiHidden/>
    <w:unhideWhenUsed/>
    <w:rsid w:val="00D631C4"/>
    <w:rPr>
      <w:b/>
      <w:bCs/>
    </w:rPr>
  </w:style>
  <w:style w:type="character" w:customStyle="1" w:styleId="CommentSubjectChar">
    <w:name w:val="Comment Subject Char"/>
    <w:basedOn w:val="CommentTextChar"/>
    <w:link w:val="CommentSubject"/>
    <w:uiPriority w:val="99"/>
    <w:semiHidden/>
    <w:rsid w:val="00D631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9D5"/>
    <w:pPr>
      <w:ind w:left="720"/>
      <w:contextualSpacing/>
    </w:pPr>
  </w:style>
  <w:style w:type="character" w:styleId="Hyperlink">
    <w:name w:val="Hyperlink"/>
    <w:basedOn w:val="DefaultParagraphFont"/>
    <w:uiPriority w:val="99"/>
    <w:unhideWhenUsed/>
    <w:rsid w:val="00866A94"/>
    <w:rPr>
      <w:color w:val="0000FF" w:themeColor="hyperlink"/>
      <w:u w:val="single"/>
    </w:rPr>
  </w:style>
  <w:style w:type="table" w:styleId="TableGrid">
    <w:name w:val="Table Grid"/>
    <w:basedOn w:val="TableNormal"/>
    <w:uiPriority w:val="59"/>
    <w:rsid w:val="004D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511"/>
    <w:rPr>
      <w:rFonts w:ascii="Tahoma" w:hAnsi="Tahoma" w:cs="Tahoma"/>
      <w:sz w:val="16"/>
      <w:szCs w:val="16"/>
    </w:rPr>
  </w:style>
  <w:style w:type="paragraph" w:customStyle="1" w:styleId="Default">
    <w:name w:val="Default"/>
    <w:rsid w:val="00BE1AB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D1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292"/>
  </w:style>
  <w:style w:type="paragraph" w:styleId="Footer">
    <w:name w:val="footer"/>
    <w:basedOn w:val="Normal"/>
    <w:link w:val="FooterChar"/>
    <w:uiPriority w:val="99"/>
    <w:unhideWhenUsed/>
    <w:rsid w:val="00502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292"/>
  </w:style>
  <w:style w:type="character" w:styleId="CommentReference">
    <w:name w:val="annotation reference"/>
    <w:basedOn w:val="DefaultParagraphFont"/>
    <w:uiPriority w:val="99"/>
    <w:semiHidden/>
    <w:unhideWhenUsed/>
    <w:rsid w:val="00D631C4"/>
    <w:rPr>
      <w:sz w:val="16"/>
      <w:szCs w:val="16"/>
    </w:rPr>
  </w:style>
  <w:style w:type="paragraph" w:styleId="CommentText">
    <w:name w:val="annotation text"/>
    <w:basedOn w:val="Normal"/>
    <w:link w:val="CommentTextChar"/>
    <w:uiPriority w:val="99"/>
    <w:semiHidden/>
    <w:unhideWhenUsed/>
    <w:rsid w:val="00D631C4"/>
    <w:pPr>
      <w:spacing w:line="240" w:lineRule="auto"/>
    </w:pPr>
    <w:rPr>
      <w:sz w:val="20"/>
      <w:szCs w:val="20"/>
    </w:rPr>
  </w:style>
  <w:style w:type="character" w:customStyle="1" w:styleId="CommentTextChar">
    <w:name w:val="Comment Text Char"/>
    <w:basedOn w:val="DefaultParagraphFont"/>
    <w:link w:val="CommentText"/>
    <w:uiPriority w:val="99"/>
    <w:semiHidden/>
    <w:rsid w:val="00D631C4"/>
    <w:rPr>
      <w:sz w:val="20"/>
      <w:szCs w:val="20"/>
    </w:rPr>
  </w:style>
  <w:style w:type="paragraph" w:styleId="CommentSubject">
    <w:name w:val="annotation subject"/>
    <w:basedOn w:val="CommentText"/>
    <w:next w:val="CommentText"/>
    <w:link w:val="CommentSubjectChar"/>
    <w:uiPriority w:val="99"/>
    <w:semiHidden/>
    <w:unhideWhenUsed/>
    <w:rsid w:val="00D631C4"/>
    <w:rPr>
      <w:b/>
      <w:bCs/>
    </w:rPr>
  </w:style>
  <w:style w:type="character" w:customStyle="1" w:styleId="CommentSubjectChar">
    <w:name w:val="Comment Subject Char"/>
    <w:basedOn w:val="CommentTextChar"/>
    <w:link w:val="CommentSubject"/>
    <w:uiPriority w:val="99"/>
    <w:semiHidden/>
    <w:rsid w:val="00D631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usingRenewal@tunbridgewell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s.gov.uk/publication/code-crown-prosecu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697644/Civil_penalty_guidanc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EBBE-259E-4F1B-AA8F-894D63FC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Cox</dc:creator>
  <cp:lastModifiedBy>James Cox</cp:lastModifiedBy>
  <cp:revision>2</cp:revision>
  <cp:lastPrinted>2019-04-11T11:09:00Z</cp:lastPrinted>
  <dcterms:created xsi:type="dcterms:W3CDTF">2019-06-07T14:43:00Z</dcterms:created>
  <dcterms:modified xsi:type="dcterms:W3CDTF">2019-06-07T14:43:00Z</dcterms:modified>
</cp:coreProperties>
</file>